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w:t>
      </w:r>
      <w:bookmarkStart w:id="0" w:name="_Hlk41145946"/>
      <w:r>
        <w:rPr>
          <w:rFonts w:hint="eastAsia" w:ascii="Arial" w:hAnsi="Arial" w:cs="Arial"/>
          <w:b/>
          <w:lang w:val="en-US" w:eastAsia="zh-CN"/>
        </w:rPr>
        <w:t>10bis</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lang w:val="en-US" w:eastAsia="zh-CN"/>
        </w:rPr>
        <w:t>404684</w:t>
      </w:r>
      <w:bookmarkStart w:id="8" w:name="_GoBack"/>
      <w:bookmarkEnd w:id="8"/>
    </w:p>
    <w:p>
      <w:pPr>
        <w:tabs>
          <w:tab w:val="left" w:pos="3106"/>
          <w:tab w:val="center" w:pos="4536"/>
          <w:tab w:val="right" w:pos="9072"/>
        </w:tabs>
        <w:jc w:val="both"/>
        <w:rPr>
          <w:rFonts w:ascii="Arial" w:hAnsi="Arial" w:cs="Arial"/>
          <w:b/>
          <w:bCs/>
        </w:rPr>
      </w:pPr>
      <w:r>
        <w:rPr>
          <w:rFonts w:hint="eastAsia" w:ascii="Arial" w:hAnsi="Arial" w:cs="Arial"/>
          <w:b/>
          <w:bCs/>
          <w:lang w:val="en-US" w:eastAsia="zh-CN"/>
        </w:rPr>
        <w:t>ChangSha</w:t>
      </w:r>
      <w:r>
        <w:rPr>
          <w:rFonts w:hint="eastAsia" w:ascii="Arial" w:hAnsi="Arial" w:cs="Arial"/>
          <w:b/>
          <w:bCs/>
        </w:rPr>
        <w:t xml:space="preserve">, </w:t>
      </w:r>
      <w:r>
        <w:rPr>
          <w:rFonts w:hint="eastAsia" w:ascii="Arial" w:hAnsi="Arial" w:cs="Arial"/>
          <w:b/>
          <w:bCs/>
          <w:lang w:val="en-US" w:eastAsia="zh-CN"/>
        </w:rPr>
        <w:t>China</w:t>
      </w:r>
      <w:r>
        <w:rPr>
          <w:rFonts w:hint="eastAsia" w:ascii="Arial" w:hAnsi="Arial" w:cs="Arial"/>
          <w:b/>
          <w:bCs/>
        </w:rPr>
        <w:t xml:space="preserve">, </w:t>
      </w:r>
      <w:r>
        <w:rPr>
          <w:rFonts w:hint="eastAsia" w:ascii="Arial" w:hAnsi="Arial" w:cs="Arial"/>
          <w:b/>
          <w:bCs/>
          <w:lang w:val="en-US" w:eastAsia="zh-CN"/>
        </w:rPr>
        <w:t>15 - 19 Apr, 2024</w:t>
      </w:r>
    </w:p>
    <w:p>
      <w:pPr>
        <w:tabs>
          <w:tab w:val="left" w:pos="1765"/>
          <w:tab w:val="center" w:pos="4557"/>
        </w:tabs>
        <w:rPr>
          <w:b/>
          <w:sz w:val="22"/>
        </w:rPr>
      </w:pPr>
    </w:p>
    <w:p>
      <w:pPr>
        <w:tabs>
          <w:tab w:val="left" w:pos="1765"/>
          <w:tab w:val="center" w:pos="4557"/>
        </w:tabs>
        <w:rPr>
          <w:rFonts w:hint="default"/>
          <w:b/>
          <w:sz w:val="22"/>
          <w:lang w:val="en-US"/>
        </w:rPr>
      </w:pPr>
      <w:r>
        <w:rPr>
          <w:b/>
          <w:sz w:val="22"/>
        </w:rPr>
        <w:t>Agenda Item:</w:t>
      </w:r>
      <w:r>
        <w:rPr>
          <w:b/>
          <w:sz w:val="22"/>
        </w:rPr>
        <w:tab/>
      </w:r>
      <w:r>
        <w:rPr>
          <w:rFonts w:hint="eastAsia"/>
          <w:sz w:val="22"/>
          <w:lang w:val="en-US" w:eastAsia="zh-CN"/>
        </w:rPr>
        <w:t>6.16.7.3</w:t>
      </w:r>
    </w:p>
    <w:p>
      <w:pPr>
        <w:tabs>
          <w:tab w:val="left" w:pos="1765"/>
        </w:tabs>
        <w:rPr>
          <w:sz w:val="22"/>
        </w:rPr>
      </w:pPr>
      <w:r>
        <w:rPr>
          <w:b/>
          <w:sz w:val="22"/>
        </w:rPr>
        <w:t xml:space="preserve">Source: </w:t>
      </w:r>
      <w:r>
        <w:rPr>
          <w:b/>
          <w:sz w:val="22"/>
        </w:rPr>
        <w:tab/>
      </w:r>
      <w:bookmarkStart w:id="1" w:name="_Hlk41145958"/>
      <w:r>
        <w:rPr>
          <w:sz w:val="22"/>
        </w:rPr>
        <w:t>CMCC</w:t>
      </w:r>
      <w:bookmarkEnd w:id="1"/>
    </w:p>
    <w:p>
      <w:pPr>
        <w:rPr>
          <w:sz w:val="22"/>
        </w:rPr>
      </w:pPr>
      <w:r>
        <w:rPr>
          <w:b/>
          <w:sz w:val="22"/>
        </w:rPr>
        <w:t xml:space="preserve">Title: </w:t>
      </w:r>
      <w:r>
        <w:rPr>
          <w:b/>
          <w:sz w:val="22"/>
        </w:rPr>
        <w:tab/>
      </w:r>
      <w:r>
        <w:rPr>
          <w:b/>
          <w:sz w:val="22"/>
        </w:rPr>
        <w:tab/>
      </w:r>
      <w:r>
        <w:rPr>
          <w:b/>
          <w:sz w:val="22"/>
        </w:rPr>
        <w:tab/>
      </w:r>
      <w:bookmarkStart w:id="2" w:name="_Hlk41145953"/>
      <w:bookmarkStart w:id="3" w:name="OLE_LINK8"/>
      <w:bookmarkStart w:id="4" w:name="OLE_LINK7"/>
      <w:r>
        <w:rPr>
          <w:sz w:val="22"/>
        </w:rPr>
        <w:t xml:space="preserve"> </w:t>
      </w:r>
      <w:bookmarkEnd w:id="2"/>
      <w:r>
        <w:rPr>
          <w:rFonts w:hint="eastAsia"/>
          <w:sz w:val="22"/>
        </w:rPr>
        <w:t>(NR_NTN_enh-</w:t>
      </w:r>
      <w:r>
        <w:rPr>
          <w:rFonts w:hint="eastAsia"/>
          <w:sz w:val="22"/>
          <w:lang w:val="en-US" w:eastAsia="zh-CN"/>
        </w:rPr>
        <w:t>Perf</w:t>
      </w:r>
      <w:r>
        <w:rPr>
          <w:rFonts w:hint="eastAsia"/>
          <w:sz w:val="22"/>
        </w:rPr>
        <w:t>)</w:t>
      </w:r>
      <w:r>
        <w:rPr>
          <w:rFonts w:hint="eastAsia"/>
          <w:sz w:val="22"/>
          <w:lang w:val="en-US" w:eastAsia="zh-CN"/>
        </w:rPr>
        <w:t xml:space="preserve"> </w:t>
      </w:r>
      <w:r>
        <w:rPr>
          <w:rFonts w:hint="eastAsia"/>
          <w:sz w:val="22"/>
        </w:rPr>
        <w:t>Discussion on the test cases for NR NTN bands below 10GHz</w:t>
      </w:r>
    </w:p>
    <w:bookmarkEnd w:id="3"/>
    <w:bookmarkEnd w:id="4"/>
    <w:p>
      <w:pPr>
        <w:tabs>
          <w:tab w:val="left" w:pos="1765"/>
        </w:tabs>
        <w:rPr>
          <w:sz w:val="22"/>
        </w:rPr>
      </w:pPr>
      <w:r>
        <w:rPr>
          <w:b/>
          <w:sz w:val="22"/>
        </w:rPr>
        <w:t>Document for:</w:t>
      </w:r>
      <w:r>
        <w:rPr>
          <w:b/>
          <w:sz w:val="22"/>
        </w:rPr>
        <w:tab/>
      </w:r>
      <w:r>
        <w:rPr>
          <w:sz w:val="22"/>
        </w:rPr>
        <w:t>Discussion</w:t>
      </w:r>
    </w:p>
    <w:p>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sz w:val="20"/>
          <w:szCs w:val="20"/>
          <w:lang w:val="en-US" w:eastAsia="zh-CN"/>
        </w:rPr>
        <w:t>In last meeting, the test case list for NR NTN bands below 10GHz has been agreed as baseline [1]. In this contribution, we further discuss the details of the test cases and test configurations.</w:t>
      </w:r>
    </w:p>
    <w:p>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bookmarkStart w:id="5" w:name="_Hlk70326378"/>
      <w:bookmarkStart w:id="6" w:name="OLE_LINK1"/>
      <w:bookmarkStart w:id="7" w:name="OLE_LINK2"/>
      <w:r>
        <w:rPr>
          <w:rFonts w:hint="eastAsia" w:ascii="Times New Roman" w:hAnsi="Times New Roman"/>
          <w:b w:val="0"/>
          <w:bCs w:val="0"/>
          <w:kern w:val="0"/>
          <w:sz w:val="36"/>
          <w:szCs w:val="36"/>
          <w:lang w:val="en-US" w:eastAsia="zh-CN"/>
        </w:rPr>
        <w:t>Discussion</w:t>
      </w:r>
    </w:p>
    <w:p>
      <w:pPr>
        <w:outlineLvl w:val="2"/>
        <w:rPr>
          <w:rFonts w:hint="eastAsia"/>
          <w:b/>
          <w:i/>
          <w:iCs/>
          <w:sz w:val="20"/>
          <w:szCs w:val="20"/>
          <w:highlight w:val="none"/>
          <w:u w:val="single"/>
          <w:lang w:eastAsia="ko-KR"/>
        </w:rPr>
      </w:pPr>
      <w:r>
        <w:rPr>
          <w:rFonts w:hint="eastAsia"/>
          <w:b/>
          <w:i/>
          <w:iCs/>
          <w:sz w:val="20"/>
          <w:szCs w:val="20"/>
          <w:highlight w:val="none"/>
          <w:u w:val="single"/>
          <w:lang w:eastAsia="ko-KR"/>
        </w:rPr>
        <w:t>Issue 6-3: NTN bands below 10 GHz</w:t>
      </w:r>
    </w:p>
    <w:p>
      <w:pPr>
        <w:spacing w:line="252" w:lineRule="auto"/>
        <w:rPr>
          <w:rFonts w:hint="eastAsia"/>
          <w:b/>
          <w:bCs/>
          <w:i/>
          <w:iCs/>
          <w:sz w:val="20"/>
          <w:szCs w:val="20"/>
          <w:lang w:eastAsia="ja-JP"/>
        </w:rPr>
      </w:pPr>
      <w:r>
        <w:rPr>
          <w:rFonts w:hint="eastAsia"/>
          <w:b/>
          <w:bCs/>
          <w:i/>
          <w:iCs/>
          <w:sz w:val="20"/>
          <w:szCs w:val="20"/>
          <w:lang w:eastAsia="ja-JP"/>
        </w:rPr>
        <w:t xml:space="preserve">Agreement: </w:t>
      </w:r>
    </w:p>
    <w:p>
      <w:pPr>
        <w:pStyle w:val="75"/>
        <w:numPr>
          <w:ilvl w:val="0"/>
          <w:numId w:val="6"/>
        </w:numPr>
        <w:ind w:left="644" w:firstLineChars="0"/>
        <w:rPr>
          <w:rFonts w:hint="eastAsia"/>
          <w:i/>
          <w:iCs/>
          <w:sz w:val="20"/>
          <w:szCs w:val="20"/>
          <w:lang w:eastAsia="ja-JP"/>
        </w:rPr>
      </w:pPr>
      <w:r>
        <w:rPr>
          <w:rFonts w:hint="eastAsia"/>
          <w:i/>
          <w:iCs/>
          <w:sz w:val="20"/>
          <w:szCs w:val="20"/>
          <w:lang w:eastAsia="ja-JP"/>
        </w:rPr>
        <w:t>For FR1-NTN test cases, the below are baseline.</w:t>
      </w:r>
    </w:p>
    <w:p>
      <w:pPr>
        <w:pStyle w:val="75"/>
        <w:keepNext w:val="0"/>
        <w:keepLines w:val="0"/>
        <w:pageBreakBefore w:val="0"/>
        <w:widowControl/>
        <w:numPr>
          <w:ilvl w:val="1"/>
          <w:numId w:val="6"/>
        </w:numPr>
        <w:kinsoku/>
        <w:wordWrap/>
        <w:overflowPunct/>
        <w:topLinePunct w:val="0"/>
        <w:autoSpaceDE/>
        <w:autoSpaceDN/>
        <w:bidi w:val="0"/>
        <w:adjustRightInd/>
        <w:snapToGrid/>
        <w:ind w:left="1100" w:leftChars="0" w:hanging="363" w:firstLineChars="0"/>
        <w:textAlignment w:val="auto"/>
        <w:rPr>
          <w:rFonts w:hint="eastAsia"/>
          <w:i/>
          <w:iCs/>
          <w:sz w:val="20"/>
          <w:szCs w:val="20"/>
          <w:lang w:val="zh-CN" w:eastAsia="zh-CN"/>
        </w:rPr>
      </w:pPr>
      <w:r>
        <w:rPr>
          <w:rFonts w:hint="eastAsia"/>
          <w:i/>
          <w:iCs/>
          <w:sz w:val="20"/>
          <w:szCs w:val="20"/>
          <w:lang w:val="zh-CN" w:eastAsia="zh-CN"/>
        </w:rPr>
        <w:t>Network verified UE location</w:t>
      </w:r>
    </w:p>
    <w:p>
      <w:pPr>
        <w:pStyle w:val="75"/>
        <w:keepNext w:val="0"/>
        <w:keepLines w:val="0"/>
        <w:pageBreakBefore w:val="0"/>
        <w:widowControl/>
        <w:numPr>
          <w:ilvl w:val="1"/>
          <w:numId w:val="6"/>
        </w:numPr>
        <w:kinsoku/>
        <w:wordWrap/>
        <w:overflowPunct/>
        <w:topLinePunct w:val="0"/>
        <w:autoSpaceDE/>
        <w:autoSpaceDN/>
        <w:bidi w:val="0"/>
        <w:adjustRightInd/>
        <w:snapToGrid/>
        <w:ind w:left="1100" w:leftChars="0" w:hanging="363" w:firstLineChars="0"/>
        <w:textAlignment w:val="auto"/>
        <w:rPr>
          <w:rFonts w:hint="eastAsia"/>
          <w:i/>
          <w:iCs/>
          <w:sz w:val="20"/>
          <w:szCs w:val="20"/>
          <w:lang w:val="zh-CN" w:eastAsia="zh-CN"/>
        </w:rPr>
      </w:pPr>
      <w:r>
        <w:rPr>
          <w:rFonts w:hint="eastAsia"/>
          <w:i/>
          <w:iCs/>
          <w:sz w:val="20"/>
          <w:szCs w:val="20"/>
          <w:lang w:val="zh-CN" w:eastAsia="zh-CN"/>
        </w:rPr>
        <w:t>NTN-TN cell reselection</w:t>
      </w:r>
    </w:p>
    <w:p>
      <w:pPr>
        <w:pStyle w:val="75"/>
        <w:keepNext w:val="0"/>
        <w:keepLines w:val="0"/>
        <w:pageBreakBefore w:val="0"/>
        <w:widowControl/>
        <w:numPr>
          <w:ilvl w:val="1"/>
          <w:numId w:val="6"/>
        </w:numPr>
        <w:kinsoku/>
        <w:wordWrap/>
        <w:overflowPunct/>
        <w:topLinePunct w:val="0"/>
        <w:autoSpaceDE/>
        <w:autoSpaceDN/>
        <w:bidi w:val="0"/>
        <w:adjustRightInd/>
        <w:snapToGrid/>
        <w:ind w:left="1100" w:leftChars="0" w:hanging="363" w:firstLineChars="0"/>
        <w:textAlignment w:val="auto"/>
        <w:rPr>
          <w:rFonts w:hint="eastAsia"/>
          <w:i/>
          <w:iCs/>
          <w:sz w:val="20"/>
          <w:szCs w:val="20"/>
          <w:lang w:val="zh-CN" w:eastAsia="zh-CN"/>
        </w:rPr>
      </w:pPr>
      <w:r>
        <w:rPr>
          <w:rFonts w:hint="eastAsia"/>
          <w:i/>
          <w:iCs/>
          <w:sz w:val="20"/>
          <w:szCs w:val="20"/>
          <w:lang w:val="zh-CN" w:eastAsia="zh-CN"/>
        </w:rPr>
        <w:t>NTN to NTN time-based measurement initiation for cell reselection in earth-moving cell, only for satellite switch</w:t>
      </w:r>
    </w:p>
    <w:p>
      <w:pPr>
        <w:pStyle w:val="75"/>
        <w:keepNext w:val="0"/>
        <w:keepLines w:val="0"/>
        <w:pageBreakBefore w:val="0"/>
        <w:widowControl/>
        <w:numPr>
          <w:ilvl w:val="1"/>
          <w:numId w:val="6"/>
        </w:numPr>
        <w:kinsoku/>
        <w:wordWrap/>
        <w:overflowPunct/>
        <w:topLinePunct w:val="0"/>
        <w:autoSpaceDE/>
        <w:autoSpaceDN/>
        <w:bidi w:val="0"/>
        <w:adjustRightInd/>
        <w:snapToGrid/>
        <w:ind w:left="1100" w:leftChars="0" w:hanging="363" w:firstLineChars="0"/>
        <w:textAlignment w:val="auto"/>
        <w:rPr>
          <w:rFonts w:hint="eastAsia"/>
          <w:i/>
          <w:iCs/>
          <w:sz w:val="20"/>
          <w:szCs w:val="20"/>
          <w:lang w:val="zh-CN" w:eastAsia="zh-CN"/>
        </w:rPr>
      </w:pPr>
      <w:r>
        <w:rPr>
          <w:rFonts w:hint="eastAsia"/>
          <w:i/>
          <w:iCs/>
          <w:sz w:val="20"/>
          <w:szCs w:val="20"/>
          <w:lang w:val="zh-CN" w:eastAsia="zh-CN"/>
        </w:rPr>
        <w:t>NTN to NTN location-based measurement initiation for cell reselection in earth-moving cell</w:t>
      </w:r>
      <w:r>
        <w:rPr>
          <w:rFonts w:hint="eastAsia"/>
          <w:i/>
          <w:iCs/>
          <w:sz w:val="20"/>
          <w:szCs w:val="20"/>
          <w:lang w:val="en-US" w:eastAsia="zh-CN"/>
        </w:rPr>
        <w:t>, for cell switch</w:t>
      </w:r>
    </w:p>
    <w:p>
      <w:pPr>
        <w:pStyle w:val="75"/>
        <w:keepNext w:val="0"/>
        <w:keepLines w:val="0"/>
        <w:pageBreakBefore w:val="0"/>
        <w:widowControl/>
        <w:numPr>
          <w:ilvl w:val="1"/>
          <w:numId w:val="6"/>
        </w:numPr>
        <w:kinsoku/>
        <w:wordWrap/>
        <w:overflowPunct/>
        <w:topLinePunct w:val="0"/>
        <w:autoSpaceDE/>
        <w:autoSpaceDN/>
        <w:bidi w:val="0"/>
        <w:adjustRightInd/>
        <w:snapToGrid/>
        <w:ind w:left="1100" w:leftChars="0" w:hanging="363" w:firstLineChars="0"/>
        <w:textAlignment w:val="auto"/>
        <w:rPr>
          <w:rFonts w:hint="eastAsia"/>
          <w:i/>
          <w:iCs/>
          <w:sz w:val="20"/>
          <w:szCs w:val="20"/>
          <w:lang w:val="zh-CN" w:eastAsia="zh-CN"/>
        </w:rPr>
      </w:pPr>
      <w:r>
        <w:rPr>
          <w:rFonts w:hint="eastAsia"/>
          <w:i/>
          <w:iCs/>
          <w:sz w:val="20"/>
          <w:szCs w:val="20"/>
          <w:lang w:val="zh-CN" w:eastAsia="zh-CN"/>
        </w:rPr>
        <w:t>NTN to NTN RACH-less (C)HO</w:t>
      </w:r>
    </w:p>
    <w:p>
      <w:pPr>
        <w:pStyle w:val="75"/>
        <w:keepNext w:val="0"/>
        <w:keepLines w:val="0"/>
        <w:pageBreakBefore w:val="0"/>
        <w:widowControl/>
        <w:numPr>
          <w:ilvl w:val="1"/>
          <w:numId w:val="6"/>
        </w:numPr>
        <w:kinsoku/>
        <w:wordWrap/>
        <w:overflowPunct/>
        <w:topLinePunct w:val="0"/>
        <w:autoSpaceDE/>
        <w:autoSpaceDN/>
        <w:bidi w:val="0"/>
        <w:adjustRightInd/>
        <w:snapToGrid/>
        <w:ind w:left="1100" w:leftChars="0" w:hanging="363" w:firstLineChars="0"/>
        <w:textAlignment w:val="auto"/>
        <w:rPr>
          <w:rFonts w:hint="eastAsia"/>
          <w:i/>
          <w:iCs/>
          <w:sz w:val="20"/>
          <w:szCs w:val="20"/>
          <w:lang w:val="zh-CN" w:eastAsia="zh-CN"/>
        </w:rPr>
      </w:pPr>
      <w:r>
        <w:rPr>
          <w:rFonts w:hint="eastAsia"/>
          <w:i/>
          <w:iCs/>
          <w:sz w:val="20"/>
          <w:szCs w:val="20"/>
          <w:lang w:val="zh-CN" w:eastAsia="zh-CN"/>
        </w:rPr>
        <w:t>NTN to NTN Satellite switching without PCI change</w:t>
      </w:r>
    </w:p>
    <w:p>
      <w:pPr>
        <w:pStyle w:val="75"/>
        <w:numPr>
          <w:ilvl w:val="2"/>
          <w:numId w:val="6"/>
        </w:numPr>
        <w:ind w:left="1484" w:leftChars="0" w:firstLineChars="0"/>
        <w:rPr>
          <w:rFonts w:hint="eastAsia"/>
          <w:i/>
          <w:iCs/>
          <w:sz w:val="20"/>
          <w:szCs w:val="20"/>
          <w:lang w:val="zh-CN" w:eastAsia="zh-CN"/>
        </w:rPr>
      </w:pPr>
      <w:r>
        <w:rPr>
          <w:rFonts w:hint="eastAsia"/>
          <w:i/>
          <w:iCs/>
          <w:sz w:val="20"/>
          <w:szCs w:val="20"/>
          <w:lang w:val="en-US" w:eastAsia="zh-CN"/>
        </w:rPr>
        <w:t>Hard switch</w:t>
      </w:r>
    </w:p>
    <w:p>
      <w:pPr>
        <w:pStyle w:val="75"/>
        <w:numPr>
          <w:ilvl w:val="3"/>
          <w:numId w:val="6"/>
        </w:numPr>
        <w:ind w:left="1904" w:leftChars="0" w:firstLineChars="0"/>
        <w:rPr>
          <w:rFonts w:hint="eastAsia"/>
          <w:i/>
          <w:iCs/>
          <w:sz w:val="20"/>
          <w:szCs w:val="20"/>
          <w:lang w:val="zh-CN" w:eastAsia="zh-CN"/>
        </w:rPr>
      </w:pPr>
      <w:r>
        <w:rPr>
          <w:rFonts w:hint="eastAsia"/>
          <w:i/>
          <w:iCs/>
          <w:sz w:val="20"/>
          <w:szCs w:val="20"/>
          <w:lang w:val="en-US" w:eastAsia="zh-CN"/>
        </w:rPr>
        <w:t>RACH based</w:t>
      </w:r>
    </w:p>
    <w:p>
      <w:pPr>
        <w:pStyle w:val="75"/>
        <w:numPr>
          <w:ilvl w:val="3"/>
          <w:numId w:val="6"/>
        </w:numPr>
        <w:ind w:left="1904" w:leftChars="0" w:firstLineChars="0"/>
        <w:rPr>
          <w:rFonts w:hint="eastAsia"/>
          <w:i/>
          <w:iCs/>
          <w:sz w:val="20"/>
          <w:szCs w:val="20"/>
          <w:lang w:val="zh-CN" w:eastAsia="zh-CN"/>
        </w:rPr>
      </w:pPr>
      <w:r>
        <w:rPr>
          <w:rFonts w:hint="eastAsia"/>
          <w:i/>
          <w:iCs/>
          <w:sz w:val="20"/>
          <w:szCs w:val="20"/>
          <w:lang w:val="zh-CN" w:eastAsia="zh-CN"/>
        </w:rPr>
        <w:t>RACH-less</w:t>
      </w:r>
    </w:p>
    <w:p>
      <w:pPr>
        <w:pStyle w:val="75"/>
        <w:numPr>
          <w:ilvl w:val="2"/>
          <w:numId w:val="6"/>
        </w:numPr>
        <w:ind w:left="1484" w:leftChars="0" w:firstLineChars="0"/>
        <w:rPr>
          <w:rFonts w:hint="eastAsia"/>
          <w:i/>
          <w:iCs/>
          <w:sz w:val="20"/>
          <w:szCs w:val="20"/>
          <w:lang w:val="zh-CN" w:eastAsia="zh-CN"/>
        </w:rPr>
      </w:pPr>
      <w:r>
        <w:rPr>
          <w:rFonts w:hint="eastAsia"/>
          <w:i/>
          <w:iCs/>
          <w:sz w:val="20"/>
          <w:szCs w:val="20"/>
          <w:lang w:val="en-US" w:eastAsia="zh-CN"/>
        </w:rPr>
        <w:t>soft switch</w:t>
      </w:r>
    </w:p>
    <w:p>
      <w:pPr>
        <w:pStyle w:val="75"/>
        <w:numPr>
          <w:ilvl w:val="3"/>
          <w:numId w:val="6"/>
        </w:numPr>
        <w:ind w:left="1904" w:leftChars="0" w:firstLineChars="0"/>
        <w:rPr>
          <w:rFonts w:hint="eastAsia"/>
          <w:i/>
          <w:iCs/>
          <w:sz w:val="20"/>
          <w:szCs w:val="20"/>
          <w:lang w:val="zh-CN" w:eastAsia="zh-CN"/>
        </w:rPr>
      </w:pPr>
      <w:r>
        <w:rPr>
          <w:rFonts w:hint="eastAsia"/>
          <w:i/>
          <w:iCs/>
          <w:sz w:val="20"/>
          <w:szCs w:val="20"/>
          <w:lang w:val="en-US" w:eastAsia="zh-CN"/>
        </w:rPr>
        <w:t>RACH based</w:t>
      </w:r>
    </w:p>
    <w:p>
      <w:pPr>
        <w:pStyle w:val="75"/>
        <w:numPr>
          <w:ilvl w:val="3"/>
          <w:numId w:val="6"/>
        </w:numPr>
        <w:ind w:left="1904" w:leftChars="0" w:firstLineChars="0"/>
        <w:rPr>
          <w:rFonts w:hint="eastAsia"/>
          <w:i/>
          <w:iCs/>
          <w:sz w:val="20"/>
          <w:szCs w:val="20"/>
          <w:lang w:val="zh-CN" w:eastAsia="zh-CN"/>
        </w:rPr>
      </w:pPr>
      <w:r>
        <w:rPr>
          <w:rFonts w:hint="eastAsia"/>
          <w:i/>
          <w:iCs/>
          <w:sz w:val="20"/>
          <w:szCs w:val="20"/>
          <w:lang w:val="zh-CN" w:eastAsia="zh-CN"/>
        </w:rPr>
        <w:t>RACH-less</w:t>
      </w:r>
    </w:p>
    <w:p>
      <w:pPr>
        <w:pStyle w:val="75"/>
        <w:keepNext w:val="0"/>
        <w:keepLines w:val="0"/>
        <w:pageBreakBefore w:val="0"/>
        <w:widowControl/>
        <w:numPr>
          <w:ilvl w:val="1"/>
          <w:numId w:val="6"/>
        </w:numPr>
        <w:kinsoku/>
        <w:wordWrap/>
        <w:overflowPunct/>
        <w:topLinePunct w:val="0"/>
        <w:autoSpaceDE/>
        <w:autoSpaceDN/>
        <w:bidi w:val="0"/>
        <w:adjustRightInd/>
        <w:snapToGrid/>
        <w:ind w:left="1100" w:leftChars="0" w:hanging="363" w:firstLineChars="0"/>
        <w:textAlignment w:val="auto"/>
        <w:rPr>
          <w:rFonts w:hint="eastAsia"/>
          <w:i/>
          <w:iCs/>
          <w:sz w:val="20"/>
          <w:szCs w:val="20"/>
          <w:lang w:val="zh-CN" w:eastAsia="zh-CN"/>
        </w:rPr>
      </w:pPr>
      <w:r>
        <w:rPr>
          <w:rFonts w:hint="eastAsia"/>
          <w:i/>
          <w:iCs/>
          <w:sz w:val="20"/>
          <w:szCs w:val="20"/>
          <w:lang w:val="zh-CN" w:eastAsia="zh-CN"/>
        </w:rPr>
        <w:t>NTN to NTN time</w:t>
      </w:r>
      <w:r>
        <w:rPr>
          <w:rFonts w:hint="eastAsia"/>
          <w:i/>
          <w:iCs/>
          <w:sz w:val="20"/>
          <w:szCs w:val="20"/>
          <w:lang w:val="en-US" w:eastAsia="zh-CN"/>
        </w:rPr>
        <w:t>-</w:t>
      </w:r>
      <w:r>
        <w:rPr>
          <w:rFonts w:hint="eastAsia"/>
          <w:i/>
          <w:iCs/>
          <w:sz w:val="20"/>
          <w:szCs w:val="20"/>
          <w:lang w:val="zh-CN" w:eastAsia="zh-CN"/>
        </w:rPr>
        <w:t>based trigger CHO enhancements</w:t>
      </w:r>
    </w:p>
    <w:p>
      <w:pPr>
        <w:pStyle w:val="75"/>
        <w:keepNext w:val="0"/>
        <w:keepLines w:val="0"/>
        <w:pageBreakBefore w:val="0"/>
        <w:widowControl/>
        <w:numPr>
          <w:ilvl w:val="1"/>
          <w:numId w:val="6"/>
        </w:numPr>
        <w:kinsoku/>
        <w:wordWrap/>
        <w:overflowPunct/>
        <w:topLinePunct w:val="0"/>
        <w:autoSpaceDE/>
        <w:autoSpaceDN/>
        <w:bidi w:val="0"/>
        <w:adjustRightInd/>
        <w:snapToGrid/>
        <w:ind w:left="1100" w:leftChars="0" w:hanging="363" w:firstLineChars="0"/>
        <w:textAlignment w:val="auto"/>
        <w:rPr>
          <w:rFonts w:hint="eastAsia"/>
          <w:i/>
          <w:iCs/>
          <w:sz w:val="20"/>
          <w:szCs w:val="20"/>
          <w:lang w:val="zh-CN" w:eastAsia="zh-CN"/>
        </w:rPr>
      </w:pPr>
      <w:r>
        <w:rPr>
          <w:rFonts w:hint="eastAsia"/>
          <w:i/>
          <w:iCs/>
          <w:sz w:val="20"/>
          <w:szCs w:val="20"/>
          <w:lang w:val="zh-CN" w:eastAsia="zh-CN"/>
        </w:rPr>
        <w:t>NTN to NTN location- based trigger CHO enhancements</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sz w:val="20"/>
          <w:szCs w:val="20"/>
          <w:u w:val="single"/>
          <w:lang w:val="en-US" w:eastAsia="zh-CN"/>
        </w:rPr>
      </w:pPr>
      <w:r>
        <w:rPr>
          <w:rFonts w:hint="eastAsia"/>
          <w:b/>
          <w:bCs/>
          <w:sz w:val="20"/>
          <w:szCs w:val="20"/>
          <w:u w:val="single"/>
          <w:lang w:val="en-US" w:eastAsia="zh-CN"/>
        </w:rPr>
        <w:t>NTN-TN cell reselection</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sz w:val="20"/>
          <w:szCs w:val="20"/>
          <w:lang w:val="en-US" w:eastAsia="zh-CN"/>
        </w:rPr>
        <w:t>In core requirements, both inter-frequency and inter-RAT NTN to TN cell re-selection requirements were defined. We think the corresponding test cases should be covered as well.</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1: For NTN to TN cell re-selection, define the test cases for:</w:t>
      </w:r>
    </w:p>
    <w:p>
      <w:pPr>
        <w:keepNext w:val="0"/>
        <w:keepLines w:val="0"/>
        <w:pageBreakBefore w:val="0"/>
        <w:widowControl/>
        <w:numPr>
          <w:ilvl w:val="0"/>
          <w:numId w:val="7"/>
        </w:numPr>
        <w:tabs>
          <w:tab w:val="left" w:pos="441"/>
          <w:tab w:val="left" w:pos="1134"/>
        </w:tabs>
        <w:kinsoku/>
        <w:wordWrap/>
        <w:overflowPunct/>
        <w:topLinePunct w:val="0"/>
        <w:autoSpaceDE/>
        <w:autoSpaceDN/>
        <w:bidi w:val="0"/>
        <w:adjustRightInd/>
        <w:snapToGrid/>
        <w:spacing w:line="240" w:lineRule="auto"/>
        <w:ind w:left="418" w:leftChars="0" w:hanging="418" w:hangingChars="209"/>
        <w:jc w:val="both"/>
        <w:textAlignment w:val="auto"/>
        <w:rPr>
          <w:rFonts w:hint="eastAsia"/>
          <w:b/>
          <w:bCs/>
          <w:i/>
          <w:iCs/>
          <w:sz w:val="20"/>
          <w:szCs w:val="20"/>
          <w:lang w:val="en-US" w:eastAsia="zh-CN"/>
        </w:rPr>
      </w:pPr>
      <w:r>
        <w:rPr>
          <w:rFonts w:hint="eastAsia"/>
          <w:b/>
          <w:bCs/>
          <w:i/>
          <w:iCs/>
          <w:sz w:val="20"/>
          <w:szCs w:val="20"/>
          <w:lang w:val="en-US" w:eastAsia="zh-CN"/>
        </w:rPr>
        <w:t xml:space="preserve">inter-frequency NTN to TN cell re-selection </w:t>
      </w:r>
    </w:p>
    <w:p>
      <w:pPr>
        <w:keepNext w:val="0"/>
        <w:keepLines w:val="0"/>
        <w:pageBreakBefore w:val="0"/>
        <w:widowControl/>
        <w:numPr>
          <w:ilvl w:val="0"/>
          <w:numId w:val="7"/>
        </w:numPr>
        <w:tabs>
          <w:tab w:val="left" w:pos="441"/>
          <w:tab w:val="left" w:pos="1134"/>
        </w:tabs>
        <w:kinsoku/>
        <w:wordWrap/>
        <w:overflowPunct/>
        <w:topLinePunct w:val="0"/>
        <w:autoSpaceDE/>
        <w:autoSpaceDN/>
        <w:bidi w:val="0"/>
        <w:adjustRightInd/>
        <w:snapToGrid/>
        <w:spacing w:line="240" w:lineRule="auto"/>
        <w:ind w:left="418" w:leftChars="0" w:hanging="418" w:hangingChars="209"/>
        <w:jc w:val="both"/>
        <w:textAlignment w:val="auto"/>
        <w:rPr>
          <w:rFonts w:hint="default"/>
          <w:b/>
          <w:bCs/>
          <w:i/>
          <w:iCs/>
          <w:sz w:val="20"/>
          <w:szCs w:val="20"/>
          <w:lang w:val="en-US" w:eastAsia="zh-CN"/>
        </w:rPr>
      </w:pPr>
      <w:r>
        <w:rPr>
          <w:rFonts w:hint="eastAsia"/>
          <w:b/>
          <w:bCs/>
          <w:i/>
          <w:iCs/>
          <w:sz w:val="20"/>
          <w:szCs w:val="20"/>
          <w:lang w:val="en-US" w:eastAsia="zh-CN"/>
        </w:rPr>
        <w:t>inter-RAT NTN to TN cell re-selection</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sz w:val="20"/>
          <w:szCs w:val="20"/>
          <w:lang w:val="en-US" w:eastAsia="zh-CN"/>
        </w:rPr>
        <w:t>Besides, for NTN to TN cell re-selection, at least two time periods need to be defined. For the first time period, the distance between the UE and tn-ReferenceLocation is larger than tn-DistanceRadius +50m. For the second time period, the distance between the UE and tn-ReferenceLocation is smaller than tn-DistanceRadius +50m. The UE will only re-select to TN cell during the second time period. The TN cell measurement skipping criteria can be verified by such method.</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2: For NTN to TN cell re-selection test case, at least two time periods need to be defined:</w:t>
      </w:r>
    </w:p>
    <w:p>
      <w:pPr>
        <w:keepNext w:val="0"/>
        <w:keepLines w:val="0"/>
        <w:pageBreakBefore w:val="0"/>
        <w:widowControl/>
        <w:numPr>
          <w:ilvl w:val="0"/>
          <w:numId w:val="7"/>
        </w:numPr>
        <w:tabs>
          <w:tab w:val="left" w:pos="441"/>
          <w:tab w:val="left" w:pos="1134"/>
        </w:tabs>
        <w:kinsoku/>
        <w:wordWrap/>
        <w:overflowPunct/>
        <w:topLinePunct w:val="0"/>
        <w:autoSpaceDE/>
        <w:autoSpaceDN/>
        <w:bidi w:val="0"/>
        <w:adjustRightInd/>
        <w:snapToGrid/>
        <w:spacing w:line="240" w:lineRule="auto"/>
        <w:ind w:left="418" w:leftChars="0" w:hanging="418" w:hangingChars="209"/>
        <w:jc w:val="both"/>
        <w:textAlignment w:val="auto"/>
        <w:rPr>
          <w:rFonts w:hint="default"/>
          <w:b/>
          <w:bCs/>
          <w:i/>
          <w:iCs/>
          <w:sz w:val="20"/>
          <w:szCs w:val="20"/>
          <w:lang w:val="en-US" w:eastAsia="zh-CN"/>
        </w:rPr>
      </w:pPr>
      <w:r>
        <w:rPr>
          <w:rFonts w:hint="eastAsia"/>
          <w:b/>
          <w:bCs/>
          <w:i/>
          <w:iCs/>
          <w:sz w:val="20"/>
          <w:szCs w:val="20"/>
          <w:lang w:val="en-US" w:eastAsia="zh-CN"/>
        </w:rPr>
        <w:t>For the first time period, the distance between the UE and tn-ReferenceLocation is larger than tn-DistanceRadius +50m. UE will not measure/re-select to TN cell during the first time period.</w:t>
      </w:r>
    </w:p>
    <w:p>
      <w:pPr>
        <w:keepNext w:val="0"/>
        <w:keepLines w:val="0"/>
        <w:pageBreakBefore w:val="0"/>
        <w:widowControl/>
        <w:numPr>
          <w:ilvl w:val="0"/>
          <w:numId w:val="7"/>
        </w:numPr>
        <w:tabs>
          <w:tab w:val="left" w:pos="441"/>
          <w:tab w:val="left" w:pos="1134"/>
        </w:tabs>
        <w:kinsoku/>
        <w:wordWrap/>
        <w:overflowPunct/>
        <w:topLinePunct w:val="0"/>
        <w:autoSpaceDE/>
        <w:autoSpaceDN/>
        <w:bidi w:val="0"/>
        <w:adjustRightInd/>
        <w:snapToGrid/>
        <w:spacing w:line="240" w:lineRule="auto"/>
        <w:ind w:left="418" w:leftChars="0" w:hanging="418" w:hangingChars="209"/>
        <w:jc w:val="both"/>
        <w:textAlignment w:val="auto"/>
        <w:rPr>
          <w:rFonts w:hint="eastAsia"/>
          <w:b/>
          <w:bCs/>
          <w:i/>
          <w:iCs/>
          <w:sz w:val="20"/>
          <w:szCs w:val="20"/>
          <w:lang w:val="en-US" w:eastAsia="zh-CN"/>
        </w:rPr>
      </w:pPr>
      <w:r>
        <w:rPr>
          <w:rFonts w:hint="eastAsia"/>
          <w:b/>
          <w:bCs/>
          <w:i/>
          <w:iCs/>
          <w:sz w:val="20"/>
          <w:szCs w:val="20"/>
          <w:lang w:val="en-US" w:eastAsia="zh-CN"/>
        </w:rPr>
        <w:t>For the second time period, the distance between the UE and tn-ReferenceLocation is smaller than tn-DistanceRadius +50m. UE will measure/re-select to TN cell during the second time period.</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sz w:val="20"/>
          <w:szCs w:val="20"/>
          <w:u w:val="single"/>
          <w:lang w:val="zh-CN" w:eastAsia="zh-CN"/>
        </w:rPr>
      </w:pP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sz w:val="20"/>
          <w:szCs w:val="20"/>
          <w:u w:val="single"/>
          <w:lang w:val="zh-CN" w:eastAsia="zh-CN"/>
        </w:rPr>
      </w:pPr>
      <w:r>
        <w:rPr>
          <w:rFonts w:hint="eastAsia"/>
          <w:b/>
          <w:bCs/>
          <w:sz w:val="20"/>
          <w:szCs w:val="20"/>
          <w:u w:val="single"/>
          <w:lang w:val="zh-CN" w:eastAsia="zh-CN"/>
        </w:rPr>
        <w:t>NTN to NTN time</w:t>
      </w:r>
      <w:r>
        <w:rPr>
          <w:rFonts w:hint="eastAsia"/>
          <w:b/>
          <w:bCs/>
          <w:sz w:val="20"/>
          <w:szCs w:val="20"/>
          <w:u w:val="single"/>
          <w:lang w:val="en-US" w:eastAsia="zh-CN"/>
        </w:rPr>
        <w:t>/location</w:t>
      </w:r>
      <w:r>
        <w:rPr>
          <w:rFonts w:hint="eastAsia"/>
          <w:b/>
          <w:bCs/>
          <w:sz w:val="20"/>
          <w:szCs w:val="20"/>
          <w:u w:val="single"/>
          <w:lang w:val="zh-CN" w:eastAsia="zh-CN"/>
        </w:rPr>
        <w:t>-based measurement initiation for cell reselection in earth-moving cell, only for satellite switch</w:t>
      </w:r>
    </w:p>
    <w:p>
      <w:pPr>
        <w:spacing w:before="120" w:after="120"/>
        <w:jc w:val="both"/>
        <w:rPr>
          <w:rFonts w:hint="eastAsia"/>
          <w:i w:val="0"/>
          <w:iCs w:val="0"/>
          <w:sz w:val="20"/>
          <w:szCs w:val="20"/>
          <w:highlight w:val="none"/>
          <w:lang w:val="en-US" w:eastAsia="zh-CN"/>
        </w:rPr>
      </w:pPr>
      <w:r>
        <w:rPr>
          <w:rFonts w:hint="eastAsia"/>
          <w:sz w:val="20"/>
          <w:szCs w:val="20"/>
          <w:lang w:val="en-US" w:eastAsia="zh-CN"/>
        </w:rPr>
        <w:t xml:space="preserve">In R17 NR NTN WI, the time/location-based cell re-selection in quasi-fixed cell was introduced. In R18 NR NTN enh WI, the time/location-based cell re-selection in earth-moving cell was further introduced. Comparing with quasi-fixed cell scenario, the main difference is that UE should </w:t>
      </w:r>
      <w:r>
        <w:rPr>
          <w:rFonts w:hint="eastAsia"/>
          <w:i w:val="0"/>
          <w:iCs w:val="0"/>
          <w:sz w:val="20"/>
          <w:szCs w:val="20"/>
          <w:highlight w:val="none"/>
          <w:lang w:val="en-US" w:eastAsia="zh-CN"/>
        </w:rPr>
        <w:t xml:space="preserve">derive the trajectory of serving cell with rough accuracy based on serving satellite ephemeris and epochTime </w:t>
      </w:r>
      <w:r>
        <w:rPr>
          <w:rFonts w:hint="eastAsia"/>
          <w:sz w:val="20"/>
          <w:szCs w:val="20"/>
          <w:lang w:val="en-US" w:eastAsia="zh-CN"/>
        </w:rPr>
        <w:t>in earth-moving cell</w:t>
      </w:r>
      <w:r>
        <w:rPr>
          <w:rFonts w:hint="eastAsia"/>
          <w:i w:val="0"/>
          <w:iCs w:val="0"/>
          <w:sz w:val="20"/>
          <w:szCs w:val="20"/>
          <w:highlight w:val="none"/>
          <w:lang w:val="en-US" w:eastAsia="zh-CN"/>
        </w:rPr>
        <w:t>, we think it is important to test such UE behavior in the earth-moving cell test case.</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spacing w:before="120" w:after="120"/>
              <w:jc w:val="both"/>
              <w:rPr>
                <w:rFonts w:hint="default"/>
                <w:sz w:val="20"/>
                <w:szCs w:val="20"/>
                <w:lang w:val="en-US" w:eastAsia="zh-CN"/>
              </w:rPr>
            </w:pPr>
            <w:r>
              <w:rPr>
                <w:rFonts w:hint="eastAsia"/>
                <w:sz w:val="20"/>
                <w:szCs w:val="20"/>
                <w:lang w:val="en-US" w:eastAsia="zh-CN"/>
              </w:rPr>
              <w:t>Agreement in RAN2#121bis meeting:</w:t>
            </w:r>
          </w:p>
          <w:p>
            <w:pPr>
              <w:spacing w:before="120" w:after="120"/>
              <w:jc w:val="both"/>
              <w:rPr>
                <w:rFonts w:hint="eastAsia"/>
                <w:i w:val="0"/>
                <w:iCs w:val="0"/>
                <w:sz w:val="20"/>
                <w:szCs w:val="20"/>
                <w:highlight w:val="none"/>
                <w:vertAlign w:val="baseline"/>
                <w:lang w:val="en-US" w:eastAsia="zh-CN"/>
              </w:rPr>
            </w:pPr>
            <w:r>
              <w:rPr>
                <w:rFonts w:hint="eastAsia"/>
                <w:i/>
                <w:iCs/>
                <w:sz w:val="20"/>
                <w:szCs w:val="20"/>
                <w:lang w:val="en-US" w:eastAsia="zh-CN"/>
              </w:rPr>
              <w:t xml:space="preserve">RAN2 understands that </w:t>
            </w:r>
            <w:r>
              <w:rPr>
                <w:rFonts w:hint="eastAsia"/>
                <w:i/>
                <w:iCs/>
                <w:sz w:val="20"/>
                <w:szCs w:val="20"/>
                <w:highlight w:val="yellow"/>
                <w:lang w:val="en-US" w:eastAsia="zh-CN"/>
              </w:rPr>
              <w:t>for earth-moving cell reselection, the UE can derive the trajectory of serving cell with rough accuracy based on serving satellite ephemeris and epochTime,</w:t>
            </w:r>
            <w:r>
              <w:rPr>
                <w:rFonts w:hint="eastAsia"/>
                <w:i/>
                <w:iCs/>
                <w:sz w:val="20"/>
                <w:szCs w:val="20"/>
                <w:lang w:val="en-US" w:eastAsia="zh-CN"/>
              </w:rPr>
              <w:t xml:space="preserve"> with the assumption that the serving cell reference location broadcast by the network is the one at Epoch time (FFS whether a new epochTime IE is needed). RAN2 understanding is that both PVT and orbital parameters can be used for this. FFS if additional information is needed to allow more accurate measurements.</w:t>
            </w:r>
          </w:p>
        </w:tc>
      </w:tr>
    </w:tbl>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sz w:val="20"/>
          <w:szCs w:val="20"/>
          <w:lang w:val="en-US" w:eastAsia="zh-CN"/>
        </w:rPr>
        <w:t xml:space="preserve">Based on the current high level test procedure for SAN RRM tests in TS 38.133 Clause B.5, the artificial constant ephemeris information will be used in the test cases. By means of constant ephemeris information, the scenario of earth-moving cell can not be emulated, the UE behavior of deriving the practical trajectory of serving cell with rough accuracy can not be tested. </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sz w:val="20"/>
          <w:szCs w:val="20"/>
          <w:lang w:val="en-US" w:eastAsia="zh-CN"/>
        </w:rPr>
      </w:pPr>
      <w:r>
        <w:rPr>
          <w:rFonts w:hint="eastAsia"/>
          <w:sz w:val="20"/>
          <w:szCs w:val="20"/>
          <w:lang w:val="en-US" w:eastAsia="zh-CN"/>
        </w:rPr>
        <w:t>However, at the current stage, we are not clear how to emulate the test scenario of earth-moving cell, this may need further study and confirm by RAN4/5 group and TE vendor.</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spacing w:before="120" w:after="120"/>
              <w:rPr>
                <w:rFonts w:hint="default" w:eastAsiaTheme="minorEastAsia"/>
                <w:i/>
                <w:iCs/>
                <w:sz w:val="20"/>
                <w:szCs w:val="20"/>
                <w:lang w:val="en-US" w:eastAsia="zh-CN"/>
              </w:rPr>
            </w:pPr>
            <w:r>
              <w:rPr>
                <w:rFonts w:hint="eastAsia"/>
                <w:i/>
                <w:iCs/>
                <w:sz w:val="20"/>
                <w:szCs w:val="20"/>
                <w:lang w:val="en-US" w:eastAsia="zh-CN"/>
              </w:rPr>
              <w:t>t</w:t>
            </w:r>
            <w:r>
              <w:rPr>
                <w:i/>
                <w:iCs/>
                <w:sz w:val="20"/>
                <w:szCs w:val="20"/>
              </w:rPr>
              <w:t>he following high level steps are conducted for test cases for SAN defined in clause A.14</w:t>
            </w:r>
            <w:r>
              <w:rPr>
                <w:rFonts w:hint="eastAsia"/>
                <w:i/>
                <w:iCs/>
                <w:sz w:val="20"/>
                <w:szCs w:val="20"/>
                <w:lang w:val="en-US" w:eastAsia="zh-CN"/>
              </w:rPr>
              <w:t xml:space="preserve">, </w:t>
            </w:r>
          </w:p>
          <w:p>
            <w:pPr>
              <w:pStyle w:val="51"/>
              <w:rPr>
                <w:i/>
                <w:iCs/>
                <w:sz w:val="20"/>
                <w:szCs w:val="20"/>
              </w:rPr>
            </w:pPr>
            <w:r>
              <w:rPr>
                <w:i/>
                <w:iCs/>
                <w:sz w:val="20"/>
                <w:szCs w:val="20"/>
              </w:rPr>
              <w:t>-</w:t>
            </w:r>
            <w:r>
              <w:rPr>
                <w:i/>
                <w:iCs/>
                <w:sz w:val="20"/>
                <w:szCs w:val="20"/>
              </w:rPr>
              <w:tab/>
            </w:r>
            <w:r>
              <w:rPr>
                <w:i/>
                <w:iCs/>
                <w:sz w:val="20"/>
                <w:szCs w:val="20"/>
              </w:rPr>
              <w:t>A set of ephemeris information are pre-defined for each satellite corresponding to respective epoch times in TS 38.508-1 [38].</w:t>
            </w:r>
          </w:p>
          <w:p>
            <w:pPr>
              <w:pStyle w:val="51"/>
              <w:rPr>
                <w:rFonts w:hint="default"/>
                <w:sz w:val="20"/>
                <w:szCs w:val="20"/>
                <w:vertAlign w:val="baseline"/>
                <w:lang w:val="en-US" w:eastAsia="zh-CN"/>
              </w:rPr>
            </w:pPr>
            <w:r>
              <w:rPr>
                <w:rFonts w:hint="eastAsia"/>
                <w:i/>
                <w:iCs/>
                <w:sz w:val="20"/>
                <w:szCs w:val="20"/>
                <w:lang w:eastAsia="zh-CN"/>
              </w:rPr>
              <w:t>-</w:t>
            </w:r>
            <w:r>
              <w:rPr>
                <w:i/>
                <w:iCs/>
                <w:sz w:val="20"/>
                <w:szCs w:val="20"/>
              </w:rPr>
              <w:tab/>
            </w:r>
            <w:r>
              <w:rPr>
                <w:i/>
                <w:iCs/>
                <w:sz w:val="20"/>
                <w:szCs w:val="20"/>
                <w:highlight w:val="yellow"/>
              </w:rPr>
              <w:t>The same ephemeris information will be maintained during the test</w:t>
            </w:r>
            <w:r>
              <w:rPr>
                <w:i/>
                <w:iCs/>
                <w:sz w:val="20"/>
                <w:szCs w:val="20"/>
              </w:rPr>
              <w:t xml:space="preserve"> (</w:t>
            </w:r>
            <w:r>
              <w:rPr>
                <w:i/>
                <w:iCs/>
                <w:sz w:val="20"/>
                <w:szCs w:val="20"/>
                <w:highlight w:val="yellow"/>
              </w:rPr>
              <w:t>constant ephemerisInfo in all SIB19 updates</w:t>
            </w:r>
            <w:r>
              <w:rPr>
                <w:i/>
                <w:iCs/>
                <w:sz w:val="20"/>
                <w:szCs w:val="20"/>
              </w:rPr>
              <w:t xml:space="preserve">), i.e. </w:t>
            </w:r>
            <w:r>
              <w:rPr>
                <w:i/>
                <w:iCs/>
                <w:sz w:val="20"/>
                <w:szCs w:val="20"/>
                <w:highlight w:val="yellow"/>
              </w:rPr>
              <w:t>SAN RRM test cases are defined with fixed constant Delay and Doppler shift</w:t>
            </w:r>
            <w:r>
              <w:rPr>
                <w:i/>
                <w:iCs/>
                <w:sz w:val="20"/>
                <w:szCs w:val="20"/>
              </w:rPr>
              <w:t xml:space="preserve"> from Satellite access node to UE unless otherwise stated.</w:t>
            </w:r>
          </w:p>
        </w:tc>
      </w:tr>
    </w:tbl>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r>
        <w:rPr>
          <w:rFonts w:hint="eastAsia"/>
          <w:b/>
          <w:bCs/>
          <w:i/>
          <w:iCs/>
          <w:sz w:val="20"/>
          <w:szCs w:val="20"/>
          <w:lang w:val="en-US" w:eastAsia="zh-CN"/>
        </w:rPr>
        <w:t xml:space="preserve">Observation 1: By means of constant ephemeris information, the scenario of earth-moving cell can not be emulated, the UE behavior of deriving the practical trajectory of serving cell with rough accuracy can not be tested. </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3: Further study the feasibility of emulating the test scenario of earth-moving cell.</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sz w:val="20"/>
          <w:szCs w:val="20"/>
          <w:lang w:val="en-US" w:eastAsia="zh-CN"/>
        </w:rPr>
      </w:pP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sz w:val="20"/>
          <w:szCs w:val="20"/>
          <w:u w:val="single"/>
          <w:lang w:val="zh-CN" w:eastAsia="zh-CN"/>
        </w:rPr>
      </w:pPr>
      <w:r>
        <w:rPr>
          <w:rFonts w:hint="eastAsia"/>
          <w:b/>
          <w:bCs/>
          <w:sz w:val="20"/>
          <w:szCs w:val="20"/>
          <w:u w:val="single"/>
          <w:lang w:val="zh-CN" w:eastAsia="zh-CN"/>
        </w:rPr>
        <w:t>NTN to NTN Satellite switching without PCI change</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sz w:val="20"/>
          <w:szCs w:val="20"/>
          <w:lang w:val="en-US" w:eastAsia="zh-CN"/>
        </w:rPr>
        <w:t>In the soft satellite switching scenario, the T-start should be set as earlier than T-service. Otherwise, it will be same as hard satellite switching scenario.</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sz w:val="20"/>
                <w:szCs w:val="20"/>
                <w:vertAlign w:val="baseline"/>
                <w:lang w:val="en-US" w:eastAsia="zh-CN"/>
              </w:rPr>
            </w:pPr>
            <w:r>
              <w:rPr>
                <w:rFonts w:hint="default"/>
                <w:sz w:val="20"/>
                <w:szCs w:val="20"/>
                <w:vertAlign w:val="baseline"/>
                <w:lang w:val="en-US" w:eastAsia="zh-CN"/>
              </w:rPr>
              <w:t>T-start is explicitly signalled (same format as T-service). If T-start is not signalled, T-start is assumed to be equal to T-service, i.e. hard switch.</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sz w:val="20"/>
                <w:szCs w:val="20"/>
                <w:vertAlign w:val="baseline"/>
                <w:lang w:val="en-US" w:eastAsia="zh-CN"/>
              </w:rPr>
            </w:pPr>
            <w:r>
              <w:rPr>
                <w:rFonts w:hint="default"/>
                <w:sz w:val="20"/>
                <w:szCs w:val="20"/>
                <w:vertAlign w:val="baseline"/>
                <w:lang w:val="en-US" w:eastAsia="zh-CN"/>
              </w:rPr>
              <w:t>For R18 we clarify that signalling a T-start higher than T-service is an unforeseen case and the UE will assume T-start = T-service</w:t>
            </w:r>
          </w:p>
        </w:tc>
      </w:tr>
    </w:tbl>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4: In the soft satellite switching scenario, the T-start should be set as earlier than T-service.</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sz w:val="20"/>
          <w:szCs w:val="20"/>
          <w:lang w:val="en-US" w:eastAsia="zh-CN"/>
        </w:rPr>
        <w:t>In the practical soft satellite switching scenario, network firstly send the SSB-Timeoffset to UE, and then UE adjust the SSB tracking timing autonomously according to UE location, ephemeris information, common TA and so on to compensate the timing drift by propagation delay difference.</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sz w:val="20"/>
          <w:szCs w:val="20"/>
          <w:lang w:val="en-US" w:eastAsia="zh-CN"/>
        </w:rPr>
        <w:t>However, in the conducted test case, the propagation delay difference is 0 no matter what the ephemeris information and common TA setting. UE with correct SSB tracking timing adjustment behavior may fail the test if we don</w:t>
      </w:r>
      <w:r>
        <w:rPr>
          <w:rFonts w:hint="default"/>
          <w:sz w:val="20"/>
          <w:szCs w:val="20"/>
          <w:lang w:val="en-US" w:eastAsia="zh-CN"/>
        </w:rPr>
        <w:t>’</w:t>
      </w:r>
      <w:r>
        <w:rPr>
          <w:rFonts w:hint="eastAsia"/>
          <w:sz w:val="20"/>
          <w:szCs w:val="20"/>
          <w:lang w:val="en-US" w:eastAsia="zh-CN"/>
        </w:rPr>
        <w:t>t design some artificial test configuration. There are two way to address this issue, either is fine for us.</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sz w:val="20"/>
          <w:szCs w:val="20"/>
          <w:lang w:val="en-US" w:eastAsia="zh-CN"/>
        </w:rPr>
      </w:pPr>
      <w:r>
        <w:rPr>
          <w:rFonts w:hint="eastAsia"/>
          <w:sz w:val="20"/>
          <w:szCs w:val="20"/>
          <w:lang w:val="en-US" w:eastAsia="zh-CN"/>
        </w:rPr>
        <w:t xml:space="preserve">Alt1: Pre-compensate the PDD between target satellite and source satellite in the </w:t>
      </w:r>
      <w:r>
        <w:rPr>
          <w:rFonts w:hint="default"/>
          <w:sz w:val="20"/>
          <w:szCs w:val="20"/>
          <w:lang w:val="en-US" w:eastAsia="zh-CN"/>
        </w:rPr>
        <w:t>“</w:t>
      </w:r>
      <w:r>
        <w:rPr>
          <w:rFonts w:hint="eastAsia"/>
          <w:sz w:val="20"/>
          <w:szCs w:val="20"/>
          <w:lang w:val="en-US" w:eastAsia="zh-CN"/>
        </w:rPr>
        <w:t>SSB-timeoffset</w:t>
      </w:r>
      <w:r>
        <w:rPr>
          <w:rFonts w:hint="default"/>
          <w:sz w:val="20"/>
          <w:szCs w:val="20"/>
          <w:lang w:val="en-US" w:eastAsia="zh-CN"/>
        </w:rPr>
        <w:t>”</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sz w:val="20"/>
          <w:szCs w:val="20"/>
          <w:lang w:val="en-US" w:eastAsia="zh-CN"/>
        </w:rPr>
        <w:t>Alt2: Set the specific ephemeris information and common TA to make PDD=0</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b/>
          <w:bCs/>
          <w:i/>
          <w:iCs/>
          <w:sz w:val="20"/>
          <w:szCs w:val="20"/>
          <w:lang w:val="en-US" w:eastAsia="zh-CN"/>
        </w:rPr>
        <w:t>Observation 2: In the conducted test case, PDD = 0 no matter what the UE location/ephemeris information/common TA setting.</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5: To prevent UE with correct SSB tracking timing adjustment fail the test, RAN4 could introduce either of following two artificial test configurations:</w:t>
      </w:r>
    </w:p>
    <w:p>
      <w:pPr>
        <w:keepNext w:val="0"/>
        <w:keepLines w:val="0"/>
        <w:pageBreakBefore w:val="0"/>
        <w:widowControl/>
        <w:numPr>
          <w:ilvl w:val="0"/>
          <w:numId w:val="7"/>
        </w:numPr>
        <w:tabs>
          <w:tab w:val="left" w:pos="441"/>
          <w:tab w:val="left" w:pos="1134"/>
        </w:tabs>
        <w:kinsoku/>
        <w:wordWrap/>
        <w:overflowPunct/>
        <w:topLinePunct w:val="0"/>
        <w:autoSpaceDE/>
        <w:autoSpaceDN/>
        <w:bidi w:val="0"/>
        <w:adjustRightInd/>
        <w:snapToGrid/>
        <w:spacing w:line="240" w:lineRule="auto"/>
        <w:ind w:left="418" w:leftChars="0" w:hanging="418" w:hangingChars="209"/>
        <w:jc w:val="both"/>
        <w:textAlignment w:val="auto"/>
        <w:rPr>
          <w:rFonts w:hint="default"/>
          <w:b/>
          <w:bCs/>
          <w:i/>
          <w:iCs/>
          <w:sz w:val="20"/>
          <w:szCs w:val="20"/>
          <w:lang w:val="en-US" w:eastAsia="zh-CN"/>
        </w:rPr>
      </w:pPr>
      <w:r>
        <w:rPr>
          <w:rFonts w:hint="eastAsia"/>
          <w:b/>
          <w:bCs/>
          <w:i/>
          <w:iCs/>
          <w:sz w:val="20"/>
          <w:szCs w:val="20"/>
          <w:lang w:val="en-US" w:eastAsia="zh-CN"/>
        </w:rPr>
        <w:t xml:space="preserve">Alt1: Pre-compensate the PDD between target satellite and source satellite in the </w:t>
      </w:r>
      <w:r>
        <w:rPr>
          <w:rFonts w:hint="default"/>
          <w:b/>
          <w:bCs/>
          <w:i/>
          <w:iCs/>
          <w:sz w:val="20"/>
          <w:szCs w:val="20"/>
          <w:lang w:val="en-US" w:eastAsia="zh-CN"/>
        </w:rPr>
        <w:t>“</w:t>
      </w:r>
      <w:r>
        <w:rPr>
          <w:rFonts w:hint="eastAsia"/>
          <w:b/>
          <w:bCs/>
          <w:i/>
          <w:iCs/>
          <w:sz w:val="20"/>
          <w:szCs w:val="20"/>
          <w:lang w:val="en-US" w:eastAsia="zh-CN"/>
        </w:rPr>
        <w:t>SSB-timeoffset</w:t>
      </w:r>
      <w:r>
        <w:rPr>
          <w:rFonts w:hint="default"/>
          <w:b/>
          <w:bCs/>
          <w:i/>
          <w:iCs/>
          <w:sz w:val="20"/>
          <w:szCs w:val="20"/>
          <w:lang w:val="en-US" w:eastAsia="zh-CN"/>
        </w:rPr>
        <w:t>”</w:t>
      </w:r>
    </w:p>
    <w:p>
      <w:pPr>
        <w:keepNext w:val="0"/>
        <w:keepLines w:val="0"/>
        <w:pageBreakBefore w:val="0"/>
        <w:widowControl/>
        <w:numPr>
          <w:ilvl w:val="0"/>
          <w:numId w:val="7"/>
        </w:numPr>
        <w:tabs>
          <w:tab w:val="left" w:pos="441"/>
          <w:tab w:val="left" w:pos="1134"/>
        </w:tabs>
        <w:kinsoku/>
        <w:wordWrap/>
        <w:overflowPunct/>
        <w:topLinePunct w:val="0"/>
        <w:autoSpaceDE/>
        <w:autoSpaceDN/>
        <w:bidi w:val="0"/>
        <w:adjustRightInd/>
        <w:snapToGrid/>
        <w:spacing w:line="240" w:lineRule="auto"/>
        <w:ind w:left="418" w:leftChars="0" w:hanging="418" w:hangingChars="209"/>
        <w:jc w:val="both"/>
        <w:textAlignment w:val="auto"/>
        <w:rPr>
          <w:rFonts w:hint="eastAsia"/>
          <w:sz w:val="20"/>
          <w:szCs w:val="20"/>
          <w:lang w:val="en-US" w:eastAsia="zh-CN"/>
        </w:rPr>
      </w:pPr>
      <w:r>
        <w:rPr>
          <w:rFonts w:hint="eastAsia"/>
          <w:b/>
          <w:bCs/>
          <w:i/>
          <w:iCs/>
          <w:sz w:val="20"/>
          <w:szCs w:val="20"/>
          <w:lang w:val="en-US" w:eastAsia="zh-CN"/>
        </w:rPr>
        <w:t>Alt2: Set the specific ephemeris information and common TA to make PDD=0</w:t>
      </w:r>
    </w:p>
    <w:bookmarkEnd w:id="5"/>
    <w:p>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rPr>
          <w:sz w:val="20"/>
          <w:szCs w:val="20"/>
        </w:rPr>
      </w:pPr>
      <w:r>
        <w:rPr>
          <w:sz w:val="20"/>
          <w:szCs w:val="20"/>
        </w:rPr>
        <w:t xml:space="preserve">Based on the discussion above, the following observations and proposals are concluded. </w:t>
      </w:r>
      <w:bookmarkEnd w:id="6"/>
      <w:bookmarkEnd w:id="7"/>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1: For NTN to TN cell re-selection, define the test cases for:</w:t>
      </w:r>
    </w:p>
    <w:p>
      <w:pPr>
        <w:keepNext w:val="0"/>
        <w:keepLines w:val="0"/>
        <w:pageBreakBefore w:val="0"/>
        <w:widowControl/>
        <w:numPr>
          <w:ilvl w:val="0"/>
          <w:numId w:val="7"/>
        </w:numPr>
        <w:tabs>
          <w:tab w:val="left" w:pos="441"/>
          <w:tab w:val="left" w:pos="1134"/>
        </w:tabs>
        <w:kinsoku/>
        <w:wordWrap/>
        <w:overflowPunct/>
        <w:topLinePunct w:val="0"/>
        <w:autoSpaceDE/>
        <w:autoSpaceDN/>
        <w:bidi w:val="0"/>
        <w:adjustRightInd/>
        <w:snapToGrid/>
        <w:spacing w:line="240" w:lineRule="auto"/>
        <w:ind w:left="418" w:leftChars="0" w:hanging="418" w:hangingChars="209"/>
        <w:jc w:val="both"/>
        <w:textAlignment w:val="auto"/>
        <w:rPr>
          <w:rFonts w:hint="eastAsia"/>
          <w:b/>
          <w:bCs/>
          <w:i/>
          <w:iCs/>
          <w:sz w:val="20"/>
          <w:szCs w:val="20"/>
          <w:lang w:val="en-US" w:eastAsia="zh-CN"/>
        </w:rPr>
      </w:pPr>
      <w:r>
        <w:rPr>
          <w:rFonts w:hint="eastAsia"/>
          <w:b/>
          <w:bCs/>
          <w:i/>
          <w:iCs/>
          <w:sz w:val="20"/>
          <w:szCs w:val="20"/>
          <w:lang w:val="en-US" w:eastAsia="zh-CN"/>
        </w:rPr>
        <w:t xml:space="preserve">inter-frequency NTN to TN cell re-selection </w:t>
      </w:r>
    </w:p>
    <w:p>
      <w:pPr>
        <w:keepNext w:val="0"/>
        <w:keepLines w:val="0"/>
        <w:pageBreakBefore w:val="0"/>
        <w:widowControl/>
        <w:numPr>
          <w:ilvl w:val="0"/>
          <w:numId w:val="7"/>
        </w:numPr>
        <w:tabs>
          <w:tab w:val="left" w:pos="441"/>
          <w:tab w:val="left" w:pos="1134"/>
        </w:tabs>
        <w:kinsoku/>
        <w:wordWrap/>
        <w:overflowPunct/>
        <w:topLinePunct w:val="0"/>
        <w:autoSpaceDE/>
        <w:autoSpaceDN/>
        <w:bidi w:val="0"/>
        <w:adjustRightInd/>
        <w:snapToGrid/>
        <w:spacing w:line="240" w:lineRule="auto"/>
        <w:ind w:left="418" w:leftChars="0" w:hanging="418" w:hangingChars="209"/>
        <w:jc w:val="both"/>
        <w:textAlignment w:val="auto"/>
        <w:rPr>
          <w:rFonts w:hint="default"/>
          <w:b/>
          <w:bCs/>
          <w:i/>
          <w:iCs/>
          <w:sz w:val="20"/>
          <w:szCs w:val="20"/>
          <w:lang w:val="en-US" w:eastAsia="zh-CN"/>
        </w:rPr>
      </w:pPr>
      <w:r>
        <w:rPr>
          <w:rFonts w:hint="eastAsia"/>
          <w:b/>
          <w:bCs/>
          <w:i/>
          <w:iCs/>
          <w:sz w:val="20"/>
          <w:szCs w:val="20"/>
          <w:lang w:val="en-US" w:eastAsia="zh-CN"/>
        </w:rPr>
        <w:t>inter-RAT NTN to TN cell re-selection</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2: For NTN to TN cell re-selection test case, at least two time periods need to be defined:</w:t>
      </w:r>
    </w:p>
    <w:p>
      <w:pPr>
        <w:keepNext w:val="0"/>
        <w:keepLines w:val="0"/>
        <w:pageBreakBefore w:val="0"/>
        <w:widowControl/>
        <w:numPr>
          <w:ilvl w:val="0"/>
          <w:numId w:val="7"/>
        </w:numPr>
        <w:tabs>
          <w:tab w:val="left" w:pos="441"/>
          <w:tab w:val="left" w:pos="1134"/>
        </w:tabs>
        <w:kinsoku/>
        <w:wordWrap/>
        <w:overflowPunct/>
        <w:topLinePunct w:val="0"/>
        <w:autoSpaceDE/>
        <w:autoSpaceDN/>
        <w:bidi w:val="0"/>
        <w:adjustRightInd/>
        <w:snapToGrid/>
        <w:spacing w:line="240" w:lineRule="auto"/>
        <w:ind w:left="418" w:leftChars="0" w:hanging="418" w:hangingChars="209"/>
        <w:jc w:val="both"/>
        <w:textAlignment w:val="auto"/>
        <w:rPr>
          <w:rFonts w:hint="default"/>
          <w:b/>
          <w:bCs/>
          <w:i/>
          <w:iCs/>
          <w:sz w:val="20"/>
          <w:szCs w:val="20"/>
          <w:lang w:val="en-US" w:eastAsia="zh-CN"/>
        </w:rPr>
      </w:pPr>
      <w:r>
        <w:rPr>
          <w:rFonts w:hint="eastAsia"/>
          <w:b/>
          <w:bCs/>
          <w:i/>
          <w:iCs/>
          <w:sz w:val="20"/>
          <w:szCs w:val="20"/>
          <w:lang w:val="en-US" w:eastAsia="zh-CN"/>
        </w:rPr>
        <w:t>For the first time period, the distance between the UE and tn-ReferenceLocation is larger than tn-DistanceRadius +50m. UE will not measure/re-select to TN cell during the first time period.</w:t>
      </w:r>
    </w:p>
    <w:p>
      <w:pPr>
        <w:keepNext w:val="0"/>
        <w:keepLines w:val="0"/>
        <w:pageBreakBefore w:val="0"/>
        <w:widowControl/>
        <w:numPr>
          <w:ilvl w:val="0"/>
          <w:numId w:val="7"/>
        </w:numPr>
        <w:tabs>
          <w:tab w:val="left" w:pos="441"/>
          <w:tab w:val="left" w:pos="1134"/>
        </w:tabs>
        <w:kinsoku/>
        <w:wordWrap/>
        <w:overflowPunct/>
        <w:topLinePunct w:val="0"/>
        <w:autoSpaceDE/>
        <w:autoSpaceDN/>
        <w:bidi w:val="0"/>
        <w:adjustRightInd/>
        <w:snapToGrid/>
        <w:spacing w:line="240" w:lineRule="auto"/>
        <w:ind w:left="418" w:leftChars="0" w:hanging="418" w:hangingChars="209"/>
        <w:jc w:val="both"/>
        <w:textAlignment w:val="auto"/>
        <w:rPr>
          <w:rFonts w:hint="eastAsia"/>
          <w:b/>
          <w:bCs/>
          <w:i/>
          <w:iCs/>
          <w:sz w:val="20"/>
          <w:szCs w:val="20"/>
          <w:lang w:val="en-US" w:eastAsia="zh-CN"/>
        </w:rPr>
      </w:pPr>
      <w:r>
        <w:rPr>
          <w:rFonts w:hint="eastAsia"/>
          <w:b/>
          <w:bCs/>
          <w:i/>
          <w:iCs/>
          <w:sz w:val="20"/>
          <w:szCs w:val="20"/>
          <w:lang w:val="en-US" w:eastAsia="zh-CN"/>
        </w:rPr>
        <w:t>For the second time period, the distance between the UE and tn-ReferenceLocation is smaller than tn-DistanceRadius +50m. UE will measure/re-select to TN cell during the second time period.</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r>
        <w:rPr>
          <w:rFonts w:hint="eastAsia"/>
          <w:b/>
          <w:bCs/>
          <w:i/>
          <w:iCs/>
          <w:sz w:val="20"/>
          <w:szCs w:val="20"/>
          <w:lang w:val="en-US" w:eastAsia="zh-CN"/>
        </w:rPr>
        <w:t xml:space="preserve">Observation 1: By means of constant ephemeris information, the scenario of earth-moving cell can not be emulated, the UE behavior of deriving the practical trajectory of serving cell with rough accuracy can not be tested. </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3: Further study the feasibility of emulating the test scenario of earth-moving cell.</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4: In the soft satellite switching scenario, the T-start should be set as earlier than T-service.</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b/>
          <w:bCs/>
          <w:i/>
          <w:iCs/>
          <w:sz w:val="20"/>
          <w:szCs w:val="20"/>
          <w:lang w:val="en-US" w:eastAsia="zh-CN"/>
        </w:rPr>
        <w:t>Observation 2: In the conducted test case, PDD = 0 no matter what the UE location/ephemeris information/common TA setting.</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5: To prevent UE with correct SSB tracking timing adjustment fail the test, RAN4 could introduce either of following two artificial test configurations:</w:t>
      </w:r>
    </w:p>
    <w:p>
      <w:pPr>
        <w:keepNext w:val="0"/>
        <w:keepLines w:val="0"/>
        <w:pageBreakBefore w:val="0"/>
        <w:widowControl/>
        <w:numPr>
          <w:ilvl w:val="0"/>
          <w:numId w:val="7"/>
        </w:numPr>
        <w:tabs>
          <w:tab w:val="left" w:pos="441"/>
          <w:tab w:val="left" w:pos="1134"/>
        </w:tabs>
        <w:kinsoku/>
        <w:wordWrap/>
        <w:overflowPunct/>
        <w:topLinePunct w:val="0"/>
        <w:autoSpaceDE/>
        <w:autoSpaceDN/>
        <w:bidi w:val="0"/>
        <w:adjustRightInd/>
        <w:snapToGrid/>
        <w:spacing w:line="240" w:lineRule="auto"/>
        <w:ind w:left="418" w:leftChars="0" w:hanging="418" w:hangingChars="209"/>
        <w:jc w:val="both"/>
        <w:textAlignment w:val="auto"/>
        <w:rPr>
          <w:rFonts w:hint="default"/>
          <w:b/>
          <w:bCs/>
          <w:i/>
          <w:iCs/>
          <w:sz w:val="20"/>
          <w:szCs w:val="20"/>
          <w:lang w:val="en-US" w:eastAsia="zh-CN"/>
        </w:rPr>
      </w:pPr>
      <w:r>
        <w:rPr>
          <w:rFonts w:hint="eastAsia"/>
          <w:b/>
          <w:bCs/>
          <w:i/>
          <w:iCs/>
          <w:sz w:val="20"/>
          <w:szCs w:val="20"/>
          <w:lang w:val="en-US" w:eastAsia="zh-CN"/>
        </w:rPr>
        <w:t xml:space="preserve">Alt1: Pre-compensate the PDD between target satellite and source satellite in the </w:t>
      </w:r>
      <w:r>
        <w:rPr>
          <w:rFonts w:hint="default"/>
          <w:b/>
          <w:bCs/>
          <w:i/>
          <w:iCs/>
          <w:sz w:val="20"/>
          <w:szCs w:val="20"/>
          <w:lang w:val="en-US" w:eastAsia="zh-CN"/>
        </w:rPr>
        <w:t>“</w:t>
      </w:r>
      <w:r>
        <w:rPr>
          <w:rFonts w:hint="eastAsia"/>
          <w:b/>
          <w:bCs/>
          <w:i/>
          <w:iCs/>
          <w:sz w:val="20"/>
          <w:szCs w:val="20"/>
          <w:lang w:val="en-US" w:eastAsia="zh-CN"/>
        </w:rPr>
        <w:t>SSB-timeoffset</w:t>
      </w:r>
      <w:r>
        <w:rPr>
          <w:rFonts w:hint="default"/>
          <w:b/>
          <w:bCs/>
          <w:i/>
          <w:iCs/>
          <w:sz w:val="20"/>
          <w:szCs w:val="20"/>
          <w:lang w:val="en-US" w:eastAsia="zh-CN"/>
        </w:rPr>
        <w:t>”</w:t>
      </w:r>
    </w:p>
    <w:p>
      <w:pPr>
        <w:keepNext w:val="0"/>
        <w:keepLines w:val="0"/>
        <w:pageBreakBefore w:val="0"/>
        <w:widowControl/>
        <w:numPr>
          <w:ilvl w:val="0"/>
          <w:numId w:val="7"/>
        </w:numPr>
        <w:tabs>
          <w:tab w:val="left" w:pos="441"/>
          <w:tab w:val="left" w:pos="1134"/>
        </w:tabs>
        <w:kinsoku/>
        <w:wordWrap/>
        <w:overflowPunct/>
        <w:topLinePunct w:val="0"/>
        <w:autoSpaceDE/>
        <w:autoSpaceDN/>
        <w:bidi w:val="0"/>
        <w:adjustRightInd/>
        <w:snapToGrid/>
        <w:spacing w:line="240" w:lineRule="auto"/>
        <w:ind w:left="418" w:leftChars="0" w:hanging="418" w:hangingChars="209"/>
        <w:jc w:val="both"/>
        <w:textAlignment w:val="auto"/>
        <w:rPr>
          <w:rFonts w:hint="eastAsia"/>
          <w:sz w:val="20"/>
          <w:szCs w:val="20"/>
          <w:lang w:val="en-US" w:eastAsia="zh-CN"/>
        </w:rPr>
      </w:pPr>
      <w:r>
        <w:rPr>
          <w:rFonts w:hint="eastAsia"/>
          <w:b/>
          <w:bCs/>
          <w:i/>
          <w:iCs/>
          <w:sz w:val="20"/>
          <w:szCs w:val="20"/>
          <w:lang w:val="en-US" w:eastAsia="zh-CN"/>
        </w:rPr>
        <w:t>Alt2: Set the specific ephemeris information and common TA to make PDD=0</w:t>
      </w:r>
    </w:p>
    <w:p>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numPr>
          <w:ilvl w:val="0"/>
          <w:numId w:val="8"/>
        </w:numPr>
        <w:rPr>
          <w:sz w:val="20"/>
          <w:szCs w:val="20"/>
          <w:lang w:val="en-GB"/>
        </w:rPr>
      </w:pPr>
      <w:r>
        <w:rPr>
          <w:rFonts w:hint="eastAsia"/>
          <w:sz w:val="20"/>
          <w:szCs w:val="20"/>
          <w:lang w:val="en-US" w:eastAsia="zh-CN"/>
        </w:rPr>
        <w:t xml:space="preserve">R4-2403492, WF on RRM requirements for NR_NTN_enh, </w:t>
      </w:r>
      <w:r>
        <w:rPr>
          <w:rFonts w:hint="eastAsia"/>
          <w:sz w:val="20"/>
          <w:szCs w:val="20"/>
          <w:lang w:val="en-GB"/>
        </w:rPr>
        <w:t>Qual</w:t>
      </w:r>
      <w:r>
        <w:rPr>
          <w:sz w:val="20"/>
          <w:szCs w:val="20"/>
          <w:lang w:val="en-GB"/>
        </w:rPr>
        <w:t>comm Incorporated.</w:t>
      </w:r>
    </w:p>
    <w:p>
      <w:pPr>
        <w:rPr>
          <w:sz w:val="20"/>
          <w:szCs w:val="20"/>
          <w:lang w:val="en-GB"/>
        </w:rPr>
      </w:pP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2429BD"/>
    <w:multiLevelType w:val="singleLevel"/>
    <w:tmpl w:val="982429BD"/>
    <w:lvl w:ilvl="0" w:tentative="0">
      <w:start w:val="1"/>
      <w:numFmt w:val="decimal"/>
      <w:suff w:val="space"/>
      <w:lvlText w:val="[%1]"/>
      <w:lvlJc w:val="left"/>
    </w:lvl>
  </w:abstractNum>
  <w:abstractNum w:abstractNumId="1">
    <w:nsid w:val="9BE22B6F"/>
    <w:multiLevelType w:val="multilevel"/>
    <w:tmpl w:val="9BE22B6F"/>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D6E3167"/>
    <w:multiLevelType w:val="multilevel"/>
    <w:tmpl w:val="4D6E3167"/>
    <w:lvl w:ilvl="0" w:tentative="0">
      <w:start w:val="1"/>
      <w:numFmt w:val="decimal"/>
      <w:pStyle w:val="9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67267C66"/>
    <w:multiLevelType w:val="multilevel"/>
    <w:tmpl w:val="67267C66"/>
    <w:lvl w:ilvl="0" w:tentative="0">
      <w:start w:val="1"/>
      <w:numFmt w:val="bullet"/>
      <w:lvlText w:val=""/>
      <w:lvlJc w:val="left"/>
      <w:pPr>
        <w:ind w:left="1496" w:hanging="360"/>
      </w:pPr>
      <w:rPr>
        <w:rFonts w:hint="default" w:ascii="Symbol" w:hAnsi="Symbol"/>
      </w:rPr>
    </w:lvl>
    <w:lvl w:ilvl="1" w:tentative="0">
      <w:start w:val="1"/>
      <w:numFmt w:val="bullet"/>
      <w:lvlText w:val="o"/>
      <w:lvlJc w:val="left"/>
      <w:pPr>
        <w:ind w:left="2784" w:hanging="360"/>
      </w:pPr>
      <w:rPr>
        <w:rFonts w:hint="default" w:ascii="Courier New" w:hAnsi="Courier New" w:cs="Courier New"/>
      </w:rPr>
    </w:lvl>
    <w:lvl w:ilvl="2" w:tentative="0">
      <w:start w:val="1"/>
      <w:numFmt w:val="bullet"/>
      <w:lvlText w:val=""/>
      <w:lvlJc w:val="left"/>
      <w:pPr>
        <w:ind w:left="3504" w:hanging="360"/>
      </w:pPr>
      <w:rPr>
        <w:rFonts w:hint="default" w:ascii="Wingdings" w:hAnsi="Wingdings"/>
      </w:rPr>
    </w:lvl>
    <w:lvl w:ilvl="3" w:tentative="0">
      <w:start w:val="1"/>
      <w:numFmt w:val="bullet"/>
      <w:lvlText w:val=""/>
      <w:lvlJc w:val="left"/>
      <w:pPr>
        <w:ind w:left="4224" w:hanging="360"/>
      </w:pPr>
      <w:rPr>
        <w:rFonts w:hint="default" w:ascii="Symbol" w:hAnsi="Symbol"/>
      </w:rPr>
    </w:lvl>
    <w:lvl w:ilvl="4" w:tentative="0">
      <w:start w:val="1"/>
      <w:numFmt w:val="bullet"/>
      <w:lvlText w:val="o"/>
      <w:lvlJc w:val="left"/>
      <w:pPr>
        <w:ind w:left="4944" w:hanging="360"/>
      </w:pPr>
      <w:rPr>
        <w:rFonts w:hint="default" w:ascii="Courier New" w:hAnsi="Courier New" w:cs="Courier New"/>
      </w:rPr>
    </w:lvl>
    <w:lvl w:ilvl="5" w:tentative="0">
      <w:start w:val="1"/>
      <w:numFmt w:val="bullet"/>
      <w:lvlText w:val=""/>
      <w:lvlJc w:val="left"/>
      <w:pPr>
        <w:ind w:left="5664" w:hanging="360"/>
      </w:pPr>
      <w:rPr>
        <w:rFonts w:hint="default" w:ascii="Wingdings" w:hAnsi="Wingdings"/>
      </w:rPr>
    </w:lvl>
    <w:lvl w:ilvl="6" w:tentative="0">
      <w:start w:val="1"/>
      <w:numFmt w:val="bullet"/>
      <w:lvlText w:val=""/>
      <w:lvlJc w:val="left"/>
      <w:pPr>
        <w:ind w:left="6384" w:hanging="360"/>
      </w:pPr>
      <w:rPr>
        <w:rFonts w:hint="default" w:ascii="Symbol" w:hAnsi="Symbol"/>
      </w:rPr>
    </w:lvl>
    <w:lvl w:ilvl="7" w:tentative="0">
      <w:start w:val="1"/>
      <w:numFmt w:val="bullet"/>
      <w:lvlText w:val="o"/>
      <w:lvlJc w:val="left"/>
      <w:pPr>
        <w:ind w:left="7104" w:hanging="360"/>
      </w:pPr>
      <w:rPr>
        <w:rFonts w:hint="default" w:ascii="Courier New" w:hAnsi="Courier New" w:cs="Courier New"/>
      </w:rPr>
    </w:lvl>
    <w:lvl w:ilvl="8" w:tentative="0">
      <w:start w:val="1"/>
      <w:numFmt w:val="bullet"/>
      <w:lvlText w:val=""/>
      <w:lvlJc w:val="left"/>
      <w:pPr>
        <w:ind w:left="7824" w:hanging="360"/>
      </w:pPr>
      <w:rPr>
        <w:rFonts w:hint="default" w:ascii="Wingdings" w:hAnsi="Wingdings"/>
      </w:rPr>
    </w:lvl>
  </w:abstractNum>
  <w:abstractNum w:abstractNumId="5">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6">
    <w:nsid w:val="70146DC0"/>
    <w:multiLevelType w:val="multilevel"/>
    <w:tmpl w:val="70146DC0"/>
    <w:lvl w:ilvl="0" w:tentative="0">
      <w:start w:val="1"/>
      <w:numFmt w:val="bullet"/>
      <w:pStyle w:val="92"/>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7"/>
  </w:num>
  <w:num w:numId="2">
    <w:abstractNumId w:val="5"/>
  </w:num>
  <w:num w:numId="3">
    <w:abstractNumId w:val="3"/>
  </w:num>
  <w:num w:numId="4">
    <w:abstractNumId w:val="6"/>
  </w:num>
  <w:num w:numId="5">
    <w:abstractNumId w:val="2"/>
  </w:num>
  <w:num w:numId="6">
    <w:abstractNumId w:val="4"/>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2FEB"/>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20E"/>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6B04"/>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344"/>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60"/>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2B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622"/>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6DCA"/>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788"/>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289"/>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ACB"/>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3FB6"/>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7D1"/>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17E"/>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D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01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4A94"/>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2B1"/>
    <w:rsid w:val="002F36BE"/>
    <w:rsid w:val="002F3C91"/>
    <w:rsid w:val="002F3FDE"/>
    <w:rsid w:val="002F4193"/>
    <w:rsid w:val="002F436A"/>
    <w:rsid w:val="002F5B1E"/>
    <w:rsid w:val="002F5B9F"/>
    <w:rsid w:val="002F620C"/>
    <w:rsid w:val="002F67BA"/>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B7"/>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6992"/>
    <w:rsid w:val="003973E9"/>
    <w:rsid w:val="003977B1"/>
    <w:rsid w:val="00397D15"/>
    <w:rsid w:val="003A09AB"/>
    <w:rsid w:val="003A0B30"/>
    <w:rsid w:val="003A0C62"/>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CCF"/>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2"/>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0CC9"/>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5D1"/>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53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AEC"/>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43D"/>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09F"/>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B7C27"/>
    <w:rsid w:val="005C0859"/>
    <w:rsid w:val="005C0F66"/>
    <w:rsid w:val="005C0FDA"/>
    <w:rsid w:val="005C25A8"/>
    <w:rsid w:val="005C27E6"/>
    <w:rsid w:val="005C2A62"/>
    <w:rsid w:val="005C30E4"/>
    <w:rsid w:val="005C3401"/>
    <w:rsid w:val="005C36FC"/>
    <w:rsid w:val="005C4601"/>
    <w:rsid w:val="005C4AFF"/>
    <w:rsid w:val="005C4B67"/>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A0E"/>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C1"/>
    <w:rsid w:val="005F4A12"/>
    <w:rsid w:val="005F53A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B51"/>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BF5"/>
    <w:rsid w:val="00616756"/>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1E90"/>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1C7"/>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B0E"/>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37"/>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640"/>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3C"/>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2E6B"/>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0D0"/>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61"/>
    <w:rsid w:val="007E5D7B"/>
    <w:rsid w:val="007E6C35"/>
    <w:rsid w:val="007E6C8F"/>
    <w:rsid w:val="007E757F"/>
    <w:rsid w:val="007E7A96"/>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995"/>
    <w:rsid w:val="00841F4E"/>
    <w:rsid w:val="008421A5"/>
    <w:rsid w:val="00842901"/>
    <w:rsid w:val="00842A53"/>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44B5"/>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A83"/>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644"/>
    <w:rsid w:val="00883D9D"/>
    <w:rsid w:val="0088421D"/>
    <w:rsid w:val="00884262"/>
    <w:rsid w:val="00884654"/>
    <w:rsid w:val="008848DF"/>
    <w:rsid w:val="00884C77"/>
    <w:rsid w:val="00884CEC"/>
    <w:rsid w:val="00884DF3"/>
    <w:rsid w:val="0088540E"/>
    <w:rsid w:val="008856FE"/>
    <w:rsid w:val="00885897"/>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368"/>
    <w:rsid w:val="008B08AF"/>
    <w:rsid w:val="008B0D69"/>
    <w:rsid w:val="008B0F94"/>
    <w:rsid w:val="008B2329"/>
    <w:rsid w:val="008B2D8C"/>
    <w:rsid w:val="008B371A"/>
    <w:rsid w:val="008B39CF"/>
    <w:rsid w:val="008B3A10"/>
    <w:rsid w:val="008B3C24"/>
    <w:rsid w:val="008B4137"/>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4F23"/>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257"/>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6E66"/>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17B"/>
    <w:rsid w:val="0095036B"/>
    <w:rsid w:val="00950481"/>
    <w:rsid w:val="0095079E"/>
    <w:rsid w:val="00950E94"/>
    <w:rsid w:val="00950F5B"/>
    <w:rsid w:val="009510BC"/>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6BE"/>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31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BBE"/>
    <w:rsid w:val="009F7D22"/>
    <w:rsid w:val="00A000A2"/>
    <w:rsid w:val="00A000A4"/>
    <w:rsid w:val="00A002BF"/>
    <w:rsid w:val="00A00A01"/>
    <w:rsid w:val="00A00B25"/>
    <w:rsid w:val="00A00B45"/>
    <w:rsid w:val="00A00C57"/>
    <w:rsid w:val="00A00DE4"/>
    <w:rsid w:val="00A01084"/>
    <w:rsid w:val="00A017BB"/>
    <w:rsid w:val="00A01A4A"/>
    <w:rsid w:val="00A01AAB"/>
    <w:rsid w:val="00A02449"/>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7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56C8F"/>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2BA4"/>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DB"/>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69F"/>
    <w:rsid w:val="00AE2B80"/>
    <w:rsid w:val="00AE33BC"/>
    <w:rsid w:val="00AE3592"/>
    <w:rsid w:val="00AE39D6"/>
    <w:rsid w:val="00AE3ACD"/>
    <w:rsid w:val="00AE3DC6"/>
    <w:rsid w:val="00AE3F34"/>
    <w:rsid w:val="00AE429B"/>
    <w:rsid w:val="00AE4C94"/>
    <w:rsid w:val="00AE4E2B"/>
    <w:rsid w:val="00AE4FF4"/>
    <w:rsid w:val="00AE513A"/>
    <w:rsid w:val="00AE5144"/>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3D9"/>
    <w:rsid w:val="00B524FC"/>
    <w:rsid w:val="00B526F2"/>
    <w:rsid w:val="00B52A6C"/>
    <w:rsid w:val="00B52D1E"/>
    <w:rsid w:val="00B53011"/>
    <w:rsid w:val="00B5389F"/>
    <w:rsid w:val="00B545C2"/>
    <w:rsid w:val="00B54B43"/>
    <w:rsid w:val="00B55D8F"/>
    <w:rsid w:val="00B56000"/>
    <w:rsid w:val="00B56391"/>
    <w:rsid w:val="00B5656A"/>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14D5"/>
    <w:rsid w:val="00BB20F0"/>
    <w:rsid w:val="00BB2419"/>
    <w:rsid w:val="00BB25E4"/>
    <w:rsid w:val="00BB2B42"/>
    <w:rsid w:val="00BB35AD"/>
    <w:rsid w:val="00BB35D0"/>
    <w:rsid w:val="00BB3777"/>
    <w:rsid w:val="00BB459D"/>
    <w:rsid w:val="00BB46E5"/>
    <w:rsid w:val="00BB488A"/>
    <w:rsid w:val="00BB5220"/>
    <w:rsid w:val="00BB54EE"/>
    <w:rsid w:val="00BB59B6"/>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673"/>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B1A"/>
    <w:rsid w:val="00C435D6"/>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0DF"/>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07E"/>
    <w:rsid w:val="00CF430D"/>
    <w:rsid w:val="00CF47D7"/>
    <w:rsid w:val="00CF54F7"/>
    <w:rsid w:val="00CF552F"/>
    <w:rsid w:val="00CF5F0D"/>
    <w:rsid w:val="00CF5F26"/>
    <w:rsid w:val="00CF61D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93"/>
    <w:rsid w:val="00D36DFE"/>
    <w:rsid w:val="00D37433"/>
    <w:rsid w:val="00D41A65"/>
    <w:rsid w:val="00D41FB2"/>
    <w:rsid w:val="00D42983"/>
    <w:rsid w:val="00D4386A"/>
    <w:rsid w:val="00D43FDA"/>
    <w:rsid w:val="00D44B30"/>
    <w:rsid w:val="00D453BD"/>
    <w:rsid w:val="00D45765"/>
    <w:rsid w:val="00D45791"/>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184"/>
    <w:rsid w:val="00D622C9"/>
    <w:rsid w:val="00D624AD"/>
    <w:rsid w:val="00D62D5B"/>
    <w:rsid w:val="00D6326B"/>
    <w:rsid w:val="00D63369"/>
    <w:rsid w:val="00D6399A"/>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3EE"/>
    <w:rsid w:val="00E0044B"/>
    <w:rsid w:val="00E0052E"/>
    <w:rsid w:val="00E0066A"/>
    <w:rsid w:val="00E00B00"/>
    <w:rsid w:val="00E012E1"/>
    <w:rsid w:val="00E0169A"/>
    <w:rsid w:val="00E02118"/>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12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4C8"/>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4A0"/>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593"/>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23D1"/>
    <w:rsid w:val="00EE3599"/>
    <w:rsid w:val="00EE3653"/>
    <w:rsid w:val="00EE3C93"/>
    <w:rsid w:val="00EE3DF0"/>
    <w:rsid w:val="00EE4039"/>
    <w:rsid w:val="00EE41CA"/>
    <w:rsid w:val="00EE49BD"/>
    <w:rsid w:val="00EE4AAC"/>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67A"/>
    <w:rsid w:val="00F038F0"/>
    <w:rsid w:val="00F042AF"/>
    <w:rsid w:val="00F04641"/>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6E"/>
    <w:rsid w:val="00F14B7C"/>
    <w:rsid w:val="00F14CA1"/>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9D"/>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E1"/>
    <w:rsid w:val="00F5129E"/>
    <w:rsid w:val="00F51B63"/>
    <w:rsid w:val="00F531AA"/>
    <w:rsid w:val="00F533A1"/>
    <w:rsid w:val="00F53BA7"/>
    <w:rsid w:val="00F549B4"/>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2A9"/>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0E041F"/>
    <w:rsid w:val="0157185C"/>
    <w:rsid w:val="02BB15E8"/>
    <w:rsid w:val="032875BA"/>
    <w:rsid w:val="04027B7C"/>
    <w:rsid w:val="04270E0A"/>
    <w:rsid w:val="04F14AC0"/>
    <w:rsid w:val="05E842A2"/>
    <w:rsid w:val="061C4A75"/>
    <w:rsid w:val="06830D33"/>
    <w:rsid w:val="07B91BA9"/>
    <w:rsid w:val="09301679"/>
    <w:rsid w:val="098E414D"/>
    <w:rsid w:val="0A2F10B0"/>
    <w:rsid w:val="0A314183"/>
    <w:rsid w:val="0A512B65"/>
    <w:rsid w:val="0B4D1804"/>
    <w:rsid w:val="0BC169A8"/>
    <w:rsid w:val="0BFD3FEE"/>
    <w:rsid w:val="0BFE43A0"/>
    <w:rsid w:val="0C34713B"/>
    <w:rsid w:val="0D11391B"/>
    <w:rsid w:val="0E1E058B"/>
    <w:rsid w:val="0E6C3CB3"/>
    <w:rsid w:val="0E723D6F"/>
    <w:rsid w:val="0EA0635C"/>
    <w:rsid w:val="0EB73522"/>
    <w:rsid w:val="0EC601AB"/>
    <w:rsid w:val="10FD15E1"/>
    <w:rsid w:val="11410433"/>
    <w:rsid w:val="11502A3C"/>
    <w:rsid w:val="116206E1"/>
    <w:rsid w:val="11E74B6B"/>
    <w:rsid w:val="135D091C"/>
    <w:rsid w:val="144E60BA"/>
    <w:rsid w:val="14704788"/>
    <w:rsid w:val="155A08C9"/>
    <w:rsid w:val="17F40229"/>
    <w:rsid w:val="19166C11"/>
    <w:rsid w:val="19684D1A"/>
    <w:rsid w:val="199268D2"/>
    <w:rsid w:val="19AE4C3C"/>
    <w:rsid w:val="1A337C08"/>
    <w:rsid w:val="1B08792E"/>
    <w:rsid w:val="1D482986"/>
    <w:rsid w:val="1D530466"/>
    <w:rsid w:val="20741BCD"/>
    <w:rsid w:val="21E6327B"/>
    <w:rsid w:val="220B151A"/>
    <w:rsid w:val="226278E6"/>
    <w:rsid w:val="22CD4739"/>
    <w:rsid w:val="23F24A71"/>
    <w:rsid w:val="2453420A"/>
    <w:rsid w:val="25B0630F"/>
    <w:rsid w:val="264F651F"/>
    <w:rsid w:val="26AB5CAA"/>
    <w:rsid w:val="270343AF"/>
    <w:rsid w:val="27885E9A"/>
    <w:rsid w:val="27C37418"/>
    <w:rsid w:val="27E70AD2"/>
    <w:rsid w:val="282B4205"/>
    <w:rsid w:val="28340C68"/>
    <w:rsid w:val="28E63708"/>
    <w:rsid w:val="2903193C"/>
    <w:rsid w:val="293A0182"/>
    <w:rsid w:val="29F41202"/>
    <w:rsid w:val="2A1C7136"/>
    <w:rsid w:val="2A52567F"/>
    <w:rsid w:val="2CCE420F"/>
    <w:rsid w:val="2D3C0CBF"/>
    <w:rsid w:val="2E177608"/>
    <w:rsid w:val="2E285745"/>
    <w:rsid w:val="2E954754"/>
    <w:rsid w:val="2EBB7CD6"/>
    <w:rsid w:val="2ECD6A4D"/>
    <w:rsid w:val="2F1F43E1"/>
    <w:rsid w:val="2FF748E5"/>
    <w:rsid w:val="302A3B16"/>
    <w:rsid w:val="30B631AE"/>
    <w:rsid w:val="311C418B"/>
    <w:rsid w:val="33106379"/>
    <w:rsid w:val="33417212"/>
    <w:rsid w:val="339A6C60"/>
    <w:rsid w:val="33A629ED"/>
    <w:rsid w:val="33C33478"/>
    <w:rsid w:val="33E2308C"/>
    <w:rsid w:val="33FF585B"/>
    <w:rsid w:val="34C969B6"/>
    <w:rsid w:val="35CB3800"/>
    <w:rsid w:val="36267311"/>
    <w:rsid w:val="36ED2DC2"/>
    <w:rsid w:val="3B1D4D3A"/>
    <w:rsid w:val="3B1E11F2"/>
    <w:rsid w:val="3B3261DC"/>
    <w:rsid w:val="3BCD3BF3"/>
    <w:rsid w:val="3C1C2A58"/>
    <w:rsid w:val="3C3F629C"/>
    <w:rsid w:val="3D2E150D"/>
    <w:rsid w:val="3D774C98"/>
    <w:rsid w:val="3DD26E51"/>
    <w:rsid w:val="3FFA159D"/>
    <w:rsid w:val="4028093E"/>
    <w:rsid w:val="40A203D0"/>
    <w:rsid w:val="41021CB6"/>
    <w:rsid w:val="42714C57"/>
    <w:rsid w:val="428C04CB"/>
    <w:rsid w:val="438A330C"/>
    <w:rsid w:val="43D2693C"/>
    <w:rsid w:val="44694FB6"/>
    <w:rsid w:val="44D416C8"/>
    <w:rsid w:val="44F042A4"/>
    <w:rsid w:val="45004955"/>
    <w:rsid w:val="45104F09"/>
    <w:rsid w:val="4568626D"/>
    <w:rsid w:val="468D0F58"/>
    <w:rsid w:val="47382E8E"/>
    <w:rsid w:val="47BD2EBF"/>
    <w:rsid w:val="483C7010"/>
    <w:rsid w:val="48827744"/>
    <w:rsid w:val="489F04CD"/>
    <w:rsid w:val="48FF5BC4"/>
    <w:rsid w:val="496B0DFD"/>
    <w:rsid w:val="499C7F1A"/>
    <w:rsid w:val="4AB334E0"/>
    <w:rsid w:val="4AC54120"/>
    <w:rsid w:val="4AE14CE5"/>
    <w:rsid w:val="4B820C21"/>
    <w:rsid w:val="4C740FBB"/>
    <w:rsid w:val="4CB32D3F"/>
    <w:rsid w:val="4DF73079"/>
    <w:rsid w:val="4E222F58"/>
    <w:rsid w:val="4E63642D"/>
    <w:rsid w:val="4EEE3525"/>
    <w:rsid w:val="4F4A5D3D"/>
    <w:rsid w:val="4FBE626D"/>
    <w:rsid w:val="50047D3F"/>
    <w:rsid w:val="50803E7A"/>
    <w:rsid w:val="50FC4159"/>
    <w:rsid w:val="52387E00"/>
    <w:rsid w:val="52657DC0"/>
    <w:rsid w:val="52A02608"/>
    <w:rsid w:val="53046661"/>
    <w:rsid w:val="53F344DD"/>
    <w:rsid w:val="54141C5F"/>
    <w:rsid w:val="5415308F"/>
    <w:rsid w:val="585C7AD6"/>
    <w:rsid w:val="587E7112"/>
    <w:rsid w:val="58B90AAC"/>
    <w:rsid w:val="58D33E46"/>
    <w:rsid w:val="59804317"/>
    <w:rsid w:val="5A3916BC"/>
    <w:rsid w:val="5A5554D1"/>
    <w:rsid w:val="5AD564E3"/>
    <w:rsid w:val="5B9A48FE"/>
    <w:rsid w:val="5BE54260"/>
    <w:rsid w:val="5C03165A"/>
    <w:rsid w:val="5DE26877"/>
    <w:rsid w:val="5E0314D0"/>
    <w:rsid w:val="5EA54D66"/>
    <w:rsid w:val="5FAE3C1E"/>
    <w:rsid w:val="60176AA1"/>
    <w:rsid w:val="601C52A9"/>
    <w:rsid w:val="603B3B74"/>
    <w:rsid w:val="61AF27D1"/>
    <w:rsid w:val="621D6C97"/>
    <w:rsid w:val="629C6F02"/>
    <w:rsid w:val="636D6759"/>
    <w:rsid w:val="646D5888"/>
    <w:rsid w:val="649B770A"/>
    <w:rsid w:val="666B0042"/>
    <w:rsid w:val="6695767F"/>
    <w:rsid w:val="669A6BCA"/>
    <w:rsid w:val="674E1284"/>
    <w:rsid w:val="67791B52"/>
    <w:rsid w:val="67B02672"/>
    <w:rsid w:val="67F34F90"/>
    <w:rsid w:val="67FA6925"/>
    <w:rsid w:val="68F9738C"/>
    <w:rsid w:val="690A41ED"/>
    <w:rsid w:val="69B84930"/>
    <w:rsid w:val="6AA1751A"/>
    <w:rsid w:val="6B3773F6"/>
    <w:rsid w:val="6E7D749A"/>
    <w:rsid w:val="6FD518E1"/>
    <w:rsid w:val="709A16D4"/>
    <w:rsid w:val="70B558FD"/>
    <w:rsid w:val="7191735E"/>
    <w:rsid w:val="738E763D"/>
    <w:rsid w:val="74521C25"/>
    <w:rsid w:val="74BC07DB"/>
    <w:rsid w:val="7530247A"/>
    <w:rsid w:val="76871284"/>
    <w:rsid w:val="769367A2"/>
    <w:rsid w:val="77DC6BAC"/>
    <w:rsid w:val="77EB1A53"/>
    <w:rsid w:val="78833509"/>
    <w:rsid w:val="78DE7EBE"/>
    <w:rsid w:val="79497FA2"/>
    <w:rsid w:val="799A470F"/>
    <w:rsid w:val="7A8B7C93"/>
    <w:rsid w:val="7B0E64C9"/>
    <w:rsid w:val="7B3426D8"/>
    <w:rsid w:val="7B804AEA"/>
    <w:rsid w:val="7CF466CF"/>
    <w:rsid w:val="7F2D7455"/>
    <w:rsid w:val="7F5877E7"/>
    <w:rsid w:val="7FAC53B6"/>
    <w:rsid w:val="7FC924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8"/>
    <w:qFormat/>
    <w:uiPriority w:val="0"/>
    <w:pPr>
      <w:tabs>
        <w:tab w:val="left" w:pos="720"/>
        <w:tab w:val="clear" w:pos="576"/>
      </w:tabs>
      <w:spacing w:before="120"/>
      <w:ind w:left="720" w:hanging="720"/>
      <w:outlineLvl w:val="2"/>
    </w:pPr>
    <w:rPr>
      <w:sz w:val="28"/>
    </w:rPr>
  </w:style>
  <w:style w:type="paragraph" w:styleId="5">
    <w:name w:val="heading 4"/>
    <w:basedOn w:val="4"/>
    <w:next w:val="1"/>
    <w:link w:val="39"/>
    <w:qFormat/>
    <w:uiPriority w:val="0"/>
    <w:pPr>
      <w:tabs>
        <w:tab w:val="left" w:pos="864"/>
        <w:tab w:val="clear" w:pos="720"/>
      </w:tabs>
      <w:ind w:left="864" w:hanging="864"/>
      <w:outlineLvl w:val="3"/>
    </w:pPr>
    <w:rPr>
      <w:sz w:val="20"/>
    </w:rPr>
  </w:style>
  <w:style w:type="paragraph" w:styleId="6">
    <w:name w:val="heading 5"/>
    <w:basedOn w:val="5"/>
    <w:next w:val="1"/>
    <w:link w:val="40"/>
    <w:qFormat/>
    <w:uiPriority w:val="0"/>
    <w:pPr>
      <w:tabs>
        <w:tab w:val="left" w:pos="1152"/>
        <w:tab w:val="clear" w:pos="864"/>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basedOn w:val="1"/>
    <w:next w:val="1"/>
    <w:link w:val="46"/>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9"/>
    <w:unhideWhenUsed/>
    <w:qFormat/>
    <w:uiPriority w:val="99"/>
  </w:style>
  <w:style w:type="paragraph" w:styleId="13">
    <w:name w:val="List 2"/>
    <w:basedOn w:val="1"/>
    <w:semiHidden/>
    <w:unhideWhenUsed/>
    <w:qFormat/>
    <w:uiPriority w:val="99"/>
    <w:pPr>
      <w:ind w:left="100" w:leftChars="200" w:hanging="200" w:hangingChars="200"/>
      <w:contextualSpacing/>
    </w:pPr>
  </w:style>
  <w:style w:type="paragraph" w:styleId="14">
    <w:name w:val="Balloon Text"/>
    <w:basedOn w:val="1"/>
    <w:link w:val="47"/>
    <w:semiHidden/>
    <w:unhideWhenUsed/>
    <w:qFormat/>
    <w:uiPriority w:val="99"/>
    <w:rPr>
      <w:rFonts w:ascii="Cambria Math" w:hAnsi="Cambria Math" w:eastAsia="Cambria Math"/>
      <w:sz w:val="18"/>
      <w:szCs w:val="18"/>
    </w:rPr>
  </w:style>
  <w:style w:type="paragraph" w:styleId="15">
    <w:name w:val="footer"/>
    <w:basedOn w:val="1"/>
    <w:link w:val="48"/>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5"/>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50"/>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0"/>
    <w:rPr>
      <w:sz w:val="21"/>
      <w:szCs w:val="21"/>
    </w:rPr>
  </w:style>
  <w:style w:type="character" w:customStyle="1" w:styleId="25">
    <w:name w:val="页眉 字符"/>
    <w:link w:val="16"/>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29"/>
    <w:link w:val="30"/>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29">
    <w:name w:val="TAL"/>
    <w:basedOn w:val="1"/>
    <w:link w:val="58"/>
    <w:qFormat/>
    <w:uiPriority w:val="0"/>
    <w:pPr>
      <w:keepNext/>
      <w:keepLines/>
    </w:pPr>
    <w:rPr>
      <w:rFonts w:ascii="Courier New" w:hAnsi="Courier New"/>
      <w:sz w:val="18"/>
      <w:szCs w:val="20"/>
      <w:lang w:val="en-GB" w:eastAsia="en-US"/>
    </w:rPr>
  </w:style>
  <w:style w:type="character" w:customStyle="1" w:styleId="30">
    <w:name w:val="TAC Char"/>
    <w:link w:val="28"/>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8"/>
    <w:link w:val="34"/>
    <w:qFormat/>
    <w:uiPriority w:val="0"/>
    <w:rPr>
      <w:b/>
      <w:bCs/>
    </w:rPr>
  </w:style>
  <w:style w:type="character" w:customStyle="1" w:styleId="34">
    <w:name w:val="TAH Car"/>
    <w:link w:val="33"/>
    <w:qFormat/>
    <w:uiPriority w:val="0"/>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0"/>
    <w:qFormat/>
    <w:uiPriority w:val="0"/>
    <w:rPr>
      <w:rFonts w:ascii="Courier New" w:hAnsi="Courier New"/>
      <w:b/>
      <w:kern w:val="20"/>
      <w:sz w:val="16"/>
      <w:lang w:eastAsia="en-US" w:bidi="ar-SA"/>
    </w:rPr>
  </w:style>
  <w:style w:type="character" w:customStyle="1" w:styleId="47">
    <w:name w:val="批注框文本 字符"/>
    <w:link w:val="14"/>
    <w:semiHidden/>
    <w:qFormat/>
    <w:uiPriority w:val="99"/>
    <w:rPr>
      <w:rFonts w:ascii="Cambria Math" w:eastAsia="Cambria Math"/>
      <w:sz w:val="18"/>
      <w:szCs w:val="18"/>
    </w:rPr>
  </w:style>
  <w:style w:type="character" w:customStyle="1" w:styleId="48">
    <w:name w:val="页脚 字符"/>
    <w:link w:val="15"/>
    <w:qFormat/>
    <w:uiPriority w:val="99"/>
    <w:rPr>
      <w:sz w:val="18"/>
      <w:szCs w:val="18"/>
    </w:rPr>
  </w:style>
  <w:style w:type="character" w:customStyle="1" w:styleId="49">
    <w:name w:val="批注文字 字符"/>
    <w:basedOn w:val="22"/>
    <w:link w:val="12"/>
    <w:qFormat/>
    <w:uiPriority w:val="99"/>
  </w:style>
  <w:style w:type="character" w:customStyle="1" w:styleId="50">
    <w:name w:val="批注主题 字符"/>
    <w:link w:val="19"/>
    <w:semiHidden/>
    <w:qFormat/>
    <w:uiPriority w:val="99"/>
    <w:rPr>
      <w:b/>
      <w:bCs/>
    </w:rPr>
  </w:style>
  <w:style w:type="paragraph" w:customStyle="1" w:styleId="51">
    <w:name w:val="B1"/>
    <w:basedOn w:val="17"/>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locked/>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character" w:customStyle="1" w:styleId="58">
    <w:name w:val="TAL Car"/>
    <w:link w:val="29"/>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修订1"/>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paragraph" w:customStyle="1" w:styleId="85">
    <w:name w:val="Comments"/>
    <w:basedOn w:val="1"/>
    <w:link w:val="86"/>
    <w:qFormat/>
    <w:uiPriority w:val="0"/>
    <w:pPr>
      <w:spacing w:before="40"/>
    </w:pPr>
    <w:rPr>
      <w:rFonts w:ascii="Arial" w:hAnsi="Arial" w:eastAsia="MS Mincho"/>
      <w:i/>
      <w:sz w:val="18"/>
      <w:lang w:val="en-GB" w:eastAsia="en-GB"/>
    </w:rPr>
  </w:style>
  <w:style w:type="character" w:customStyle="1" w:styleId="86">
    <w:name w:val="Comments Char"/>
    <w:link w:val="85"/>
    <w:qFormat/>
    <w:uiPriority w:val="0"/>
    <w:rPr>
      <w:rFonts w:ascii="Arial" w:hAnsi="Arial" w:eastAsia="MS Mincho"/>
      <w:i/>
      <w:sz w:val="18"/>
      <w:szCs w:val="24"/>
      <w:lang w:val="en-GB" w:eastAsia="en-GB"/>
    </w:rPr>
  </w:style>
  <w:style w:type="paragraph" w:customStyle="1" w:styleId="87">
    <w:name w:val="B2"/>
    <w:basedOn w:val="13"/>
    <w:link w:val="89"/>
    <w:qFormat/>
    <w:uiPriority w:val="0"/>
    <w:pPr>
      <w:overflowPunct w:val="0"/>
      <w:autoSpaceDE w:val="0"/>
      <w:autoSpaceDN w:val="0"/>
      <w:adjustRightInd w:val="0"/>
      <w:spacing w:after="180"/>
      <w:ind w:left="851" w:leftChars="0" w:hanging="284" w:firstLineChars="0"/>
      <w:contextualSpacing w:val="0"/>
      <w:textAlignment w:val="baseline"/>
    </w:pPr>
    <w:rPr>
      <w:rFonts w:eastAsia="Times New Roman"/>
      <w:sz w:val="20"/>
      <w:szCs w:val="20"/>
      <w:lang w:val="en-GB" w:eastAsia="en-GB"/>
    </w:rPr>
  </w:style>
  <w:style w:type="character" w:customStyle="1" w:styleId="88">
    <w:name w:val="NO Char"/>
    <w:qFormat/>
    <w:uiPriority w:val="0"/>
    <w:rPr>
      <w:rFonts w:eastAsia="Times New Roman"/>
      <w:lang w:val="en-GB" w:eastAsia="en-GB"/>
    </w:rPr>
  </w:style>
  <w:style w:type="character" w:customStyle="1" w:styleId="89">
    <w:name w:val="B2 Char"/>
    <w:basedOn w:val="22"/>
    <w:link w:val="87"/>
    <w:qFormat/>
    <w:uiPriority w:val="0"/>
    <w:rPr>
      <w:rFonts w:ascii="Times New Roman" w:hAnsi="Times New Roman" w:eastAsia="Times New Roman"/>
      <w:lang w:val="en-GB" w:eastAsia="en-GB"/>
    </w:rPr>
  </w:style>
  <w:style w:type="paragraph" w:customStyle="1" w:styleId="90">
    <w:name w:val="EQ"/>
    <w:basedOn w:val="1"/>
    <w:next w:val="1"/>
    <w:qFormat/>
    <w:uiPriority w:val="0"/>
    <w:pPr>
      <w:keepLines/>
      <w:tabs>
        <w:tab w:val="center" w:pos="4536"/>
        <w:tab w:val="right" w:pos="9072"/>
      </w:tabs>
    </w:pPr>
  </w:style>
  <w:style w:type="paragraph" w:customStyle="1" w:styleId="91">
    <w:name w:val="RAN4 proposal"/>
    <w:basedOn w:val="10"/>
    <w:next w:val="1"/>
    <w:qFormat/>
    <w:uiPriority w:val="0"/>
    <w:pPr>
      <w:numPr>
        <w:ilvl w:val="0"/>
        <w:numId w:val="3"/>
      </w:numPr>
      <w:ind w:left="0" w:firstLine="0"/>
      <w:jc w:val="left"/>
    </w:pPr>
    <w:rPr>
      <w:rFonts w:ascii="Times New Roman" w:hAnsi="Times New Roman"/>
      <w:sz w:val="20"/>
    </w:rPr>
  </w:style>
  <w:style w:type="paragraph" w:customStyle="1" w:styleId="92">
    <w:name w:val="Agreement"/>
    <w:basedOn w:val="1"/>
    <w:next w:val="64"/>
    <w:qFormat/>
    <w:uiPriority w:val="0"/>
    <w:pPr>
      <w:numPr>
        <w:ilvl w:val="0"/>
        <w:numId w:val="4"/>
      </w:numPr>
      <w:tabs>
        <w:tab w:val="left" w:pos="1619"/>
        <w:tab w:val="clear" w:pos="359"/>
      </w:tabs>
      <w:spacing w:before="60"/>
    </w:pPr>
    <w:rPr>
      <w:b/>
    </w:rPr>
  </w:style>
  <w:style w:type="character" w:customStyle="1" w:styleId="93">
    <w:name w:val="10"/>
    <w:basedOn w:val="22"/>
    <w:qFormat/>
    <w:uiPriority w:val="0"/>
    <w:rPr>
      <w:rFonts w:hint="default" w:ascii="Times New Roman" w:hAnsi="Times New Roman" w:cs="Times New Roman"/>
    </w:rPr>
  </w:style>
  <w:style w:type="character" w:customStyle="1" w:styleId="94">
    <w:name w:val="15"/>
    <w:basedOn w:val="22"/>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Pages>
  <Words>3418</Words>
  <Characters>19486</Characters>
  <Lines>162</Lines>
  <Paragraphs>45</Paragraphs>
  <TotalTime>173</TotalTime>
  <ScaleCrop>false</ScaleCrop>
  <LinksUpToDate>false</LinksUpToDate>
  <CharactersWithSpaces>22859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2024-04-08T10:18:17Z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34D6510157444E8DA08695970280360A</vt:lpwstr>
  </property>
</Properties>
</file>